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jc w:val="center"/>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rPr>
        <w:t>何贤纪念医院202</w:t>
      </w:r>
      <w:r>
        <w:rPr>
          <w:rFonts w:hint="eastAsia" w:ascii="宋体" w:hAnsi="宋体" w:eastAsia="宋体" w:cs="宋体"/>
          <w:b/>
          <w:bCs/>
          <w:spacing w:val="-1"/>
          <w:sz w:val="32"/>
          <w:szCs w:val="32"/>
          <w:lang w:val="en-US" w:eastAsia="zh-CN"/>
        </w:rPr>
        <w:t>4</w:t>
      </w:r>
      <w:r>
        <w:rPr>
          <w:rFonts w:hint="eastAsia" w:ascii="宋体" w:hAnsi="宋体" w:eastAsia="宋体" w:cs="宋体"/>
          <w:b/>
          <w:bCs/>
          <w:spacing w:val="-1"/>
          <w:sz w:val="32"/>
          <w:szCs w:val="32"/>
        </w:rPr>
        <w:t>-2026年三院区“四害”消杀服务</w:t>
      </w:r>
      <w:r>
        <w:rPr>
          <w:rFonts w:hint="eastAsia" w:ascii="宋体" w:hAnsi="宋体" w:eastAsia="宋体" w:cs="宋体"/>
          <w:b/>
          <w:bCs/>
          <w:spacing w:val="-1"/>
          <w:sz w:val="32"/>
          <w:szCs w:val="32"/>
          <w:lang w:val="en-US" w:eastAsia="zh-CN"/>
        </w:rPr>
        <w:t>项目</w:t>
      </w:r>
    </w:p>
    <w:p>
      <w:pPr>
        <w:spacing w:before="104" w:line="219" w:lineRule="auto"/>
        <w:jc w:val="center"/>
        <w:rPr>
          <w:rFonts w:hint="eastAsia" w:ascii="宋体" w:hAnsi="宋体" w:eastAsia="宋体" w:cs="宋体"/>
          <w:spacing w:val="2"/>
          <w:sz w:val="21"/>
          <w:szCs w:val="21"/>
          <w:lang w:val="en-US" w:eastAsia="zh-CN"/>
        </w:rPr>
      </w:pPr>
      <w:r>
        <w:rPr>
          <w:rFonts w:hint="eastAsia" w:ascii="宋体" w:hAnsi="宋体" w:eastAsia="宋体" w:cs="宋体"/>
          <w:b/>
          <w:bCs/>
          <w:spacing w:val="-1"/>
          <w:sz w:val="32"/>
          <w:szCs w:val="32"/>
          <w:lang w:val="en-US" w:eastAsia="zh-CN"/>
        </w:rPr>
        <w:t>采购</w:t>
      </w:r>
      <w:r>
        <w:rPr>
          <w:rFonts w:ascii="宋体" w:hAnsi="宋体" w:eastAsia="宋体" w:cs="宋体"/>
          <w:b/>
          <w:bCs/>
          <w:spacing w:val="-1"/>
          <w:sz w:val="32"/>
          <w:szCs w:val="32"/>
        </w:rPr>
        <w:t>需求</w:t>
      </w:r>
      <w:r>
        <w:rPr>
          <w:rFonts w:hint="eastAsia" w:ascii="宋体" w:hAnsi="宋体" w:eastAsia="宋体" w:cs="宋体"/>
          <w:b/>
          <w:bCs/>
          <w:spacing w:val="-1"/>
          <w:sz w:val="32"/>
          <w:szCs w:val="32"/>
          <w:lang w:val="en-US"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服务期限</w:t>
      </w:r>
    </w:p>
    <w:p>
      <w:pPr>
        <w:kinsoku w:val="0"/>
        <w:autoSpaceDE w:val="0"/>
        <w:autoSpaceDN w:val="0"/>
        <w:adjustRightInd w:val="0"/>
        <w:snapToGrid w:val="0"/>
        <w:spacing w:before="185" w:line="360" w:lineRule="auto"/>
        <w:ind w:left="43" w:right="115" w:firstLine="372" w:firstLineChars="150"/>
        <w:jc w:val="both"/>
        <w:textAlignment w:val="baseline"/>
        <w:rPr>
          <w:rFonts w:hint="eastAsia" w:cs="Arial" w:asciiTheme="majorEastAsia" w:hAnsiTheme="majorEastAsia" w:eastAsiaTheme="majorEastAsia"/>
          <w:color w:val="000000"/>
        </w:rPr>
      </w:pPr>
      <w:r>
        <w:rPr>
          <w:rFonts w:hint="eastAsia" w:cs="Arial" w:asciiTheme="majorEastAsia" w:hAnsiTheme="majorEastAsia" w:eastAsiaTheme="majorEastAsia"/>
          <w:color w:val="000000"/>
          <w:spacing w:val="19"/>
        </w:rPr>
        <w:t>自202</w:t>
      </w:r>
      <w:r>
        <w:rPr>
          <w:rFonts w:cs="Arial" w:asciiTheme="majorEastAsia" w:hAnsiTheme="majorEastAsia" w:eastAsiaTheme="majorEastAsia"/>
          <w:color w:val="000000"/>
          <w:spacing w:val="19"/>
        </w:rPr>
        <w:t>4</w:t>
      </w:r>
      <w:r>
        <w:rPr>
          <w:rFonts w:hint="eastAsia" w:cs="Arial" w:asciiTheme="majorEastAsia" w:hAnsiTheme="majorEastAsia" w:eastAsiaTheme="majorEastAsia"/>
          <w:color w:val="000000"/>
          <w:spacing w:val="19"/>
        </w:rPr>
        <w:t>年7月1日至202</w:t>
      </w:r>
      <w:r>
        <w:rPr>
          <w:rFonts w:cs="Arial" w:asciiTheme="majorEastAsia" w:hAnsiTheme="majorEastAsia" w:eastAsiaTheme="majorEastAsia"/>
          <w:color w:val="000000"/>
          <w:spacing w:val="19"/>
        </w:rPr>
        <w:t>6</w:t>
      </w:r>
      <w:r>
        <w:rPr>
          <w:rFonts w:hint="eastAsia" w:cs="Arial" w:asciiTheme="majorEastAsia" w:hAnsiTheme="majorEastAsia" w:eastAsiaTheme="majorEastAsia"/>
          <w:color w:val="000000"/>
          <w:spacing w:val="19"/>
        </w:rPr>
        <w:t>年6月31日止。</w:t>
      </w:r>
      <w:r>
        <w:rPr>
          <w:rFonts w:hint="eastAsia" w:cs="Arial" w:asciiTheme="majorEastAsia" w:hAnsiTheme="majorEastAsia" w:eastAsiaTheme="majorEastAsia"/>
          <w:color w:val="000000"/>
          <w:spacing w:val="-1"/>
        </w:rPr>
        <w:t>若首月服务时间不足一个自然月(以30天计</w:t>
      </w:r>
      <w:r>
        <w:rPr>
          <w:rFonts w:hint="eastAsia" w:cs="Arial" w:asciiTheme="majorEastAsia" w:hAnsiTheme="majorEastAsia" w:eastAsiaTheme="majorEastAsia"/>
          <w:color w:val="000000"/>
        </w:rPr>
        <w:t>算),按实际服务天数计算当月的服务费用。</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“四害”消杀服务地点</w:t>
      </w:r>
    </w:p>
    <w:p>
      <w:pPr>
        <w:numPr>
          <w:ilvl w:val="0"/>
          <w:numId w:val="2"/>
        </w:numPr>
        <w:spacing w:before="68" w:line="360" w:lineRule="auto"/>
        <w:ind w:left="425" w:leftChars="0" w:hanging="425" w:firstLineChars="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何贤纪念医院院本部：广州市番禺区清河东路2号、周边医院用房，包括院本部门诊住院、保健大楼、行政楼、后勤楼(含二楼何医公司办公区域)、口腔楼、医技楼、医疗综合大楼、工地、技能培训中心(清河中路128号)、员工活动中心(清河中路81号)、月嫂值班房(旧沙湾医院宿舍)、景楼大街仓库及医院周边环境；</w:t>
      </w:r>
    </w:p>
    <w:p>
      <w:pPr>
        <w:numPr>
          <w:ilvl w:val="0"/>
          <w:numId w:val="2"/>
        </w:numPr>
        <w:spacing w:before="68" w:line="360" w:lineRule="auto"/>
        <w:ind w:left="425" w:leftChars="0" w:hanging="425" w:firstLineChars="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沙湾院区：广州市番禺区沙湾街大巷涌路99号；</w:t>
      </w:r>
    </w:p>
    <w:p>
      <w:pPr>
        <w:numPr>
          <w:ilvl w:val="0"/>
          <w:numId w:val="2"/>
        </w:numPr>
        <w:spacing w:before="68" w:line="360" w:lineRule="auto"/>
        <w:ind w:left="425" w:leftChars="0" w:hanging="425" w:firstLineChars="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上述两院区服务面积约8.8万平方米；</w:t>
      </w:r>
    </w:p>
    <w:p>
      <w:pPr>
        <w:numPr>
          <w:ilvl w:val="0"/>
          <w:numId w:val="2"/>
        </w:numPr>
        <w:spacing w:before="68" w:line="360" w:lineRule="auto"/>
        <w:ind w:left="425" w:leftChars="0" w:hanging="425" w:firstLineChars="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妇幼保健计划生育服务中心：广州市番禺区市桥街盛泰路惠众街23号，服务面积约0.3万平方米；</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服务人员要求</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作业人员要求：从业人员经过“四害”消杀专业培训，并领取国家劳动部门颁发的《职业资格证书》或有害生物防制服务《上岗证》。</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本项目服务团队：响应人为本项目提供建立一支高素质的专职虫控服务团队，包括：1名项目管理人员、1名巡查技术人员、3名以上有害生物防制员(协助应急处理)及1名质检员，要求团队成员掌握“四害”、白蚁、红火蚁的灭治技术、电脑信息技术和一定的应急能力，掌握客户沟通技巧，务求更好地服务于本项目。</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药物及设备设施质量要求</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杀药物标准及设备设施：按国家规定和省爱卫办推荐使用的符合环保要求药物，其中，鼠害防制药物(原药或毒饵)是国家有关主管部门批准生产或已登记的进口的灭鼠药。药物包装符合化工产品通用标准，保证作业和服务期间负责所用药品、器械及安装的设备设施并符合国家卫生标准，对人、畜和物品不造成危害。</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药物需根据蚊虫等抗药性周期按每半年或采购人要求更换，以确保灭杀效果安全有效。</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药物的包装：以品种及规格为单位进行装箱，在每个包装箱上注明名称。</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若验收药物时发现有假冒伪劣或次品情况，扣罚1000元/次，并且采购人有权终止合同。</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消杀周期要求</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每年3月-10月期间，每周二、周五灭蚊、灭蝇、灭蟑螂等飞(爬行)虫，合计每月8次。每年11月至次年2月每周四灭蚊、灭蝇、灭蟑螂等飞(爬行)虫，合计每月4次。对三院区全部服务区域室外的绿化带、卫生死角、垃圾堆放点、沟渠、下水道、沙井口，室内的病房、值班房、工作间、杂物间、洗手间、过道、楼梯底等位置进行喷药灭杀。采购人根据消杀效果有权增加消杀服务次数，响应人按照采购人当月约定或要求的消杀服务次数安排工作人员按时到场进行消杀服务。</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每月对院区公共地带、仓库、杂物间、饭堂外围等老鼠栖息的地方投放鼠药灭治2次。应结合使用物理方法灭鼠，药量及用具满足院方需求，办公场所使用超声波驱鼠器、公共区域使用粘鼠板、投放鼠笼等。灭鼠投放点均有药盒装着药物并不外露药物，设置有警示标志，张贴灭鼠注意事项。灭鼠期间，注意安全，看管好幼儿和病患者，防止药物污染、人畜中毒和器械伤人事件的发生，并保证鼠害杀灭效果。</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▲特殊情况、重大节日或应对上级检查前，配合并2小时内到达采购人指定服务项目全部服务辖区检查一次，无条件根据采购人要求增加消杀次数，并配合完善四害防治设施，发现问题24小时内进行处理完毕。</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▲每两月更换一次不同灭杀药物，保证灭杀效果有效。</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如遇出现死老鼠味但采购人无法找出死老鼠位置，响应人在收到采购人通知后1小时内到现场找出并清除老鼠尸体。</w:t>
      </w:r>
      <w:bookmarkStart w:id="0" w:name="_GoBack"/>
      <w:bookmarkEnd w:id="0"/>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每月向采购人提交一份《四害密度监测表》、《服务质量问题整改反馈表》、《月度消杀情况工作总结》等，每周提供《本项目工作检查记录》《“四害”消杀记录表》。消杀人员到每个科室消杀后要求科室人员做好签名评价，公共地方由主管部门评价确认，每次消杀后响应人要跟进并记录消杀效果，效果不显著要及时补救。</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病媒生物控制标准</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灭鼠效果标准：室内粉块阳性率不超3%,有鼠洞、鼠粪、鼠咬痕的房间不超2%,药库等重点场所无鼠迹，防鼠设施合格率达100%,外环境无鼠活动痕迹。</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灭蚊子效果标准：室内外小型积水蚊幼虫阳性率不超过2%,成蚊的停落指数小于1.5只，室内无成蚊骚扰。</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灭蝇效果标准：有蝇房间不超过1%,平均每阳性房间不超过3只，医院饭堂等重点场所防蝇设施合格率应达到95%以上，销售直接入口食品的场所不得有蝇，外环境无蝇幼虫及蛹孳生。</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灭蟑螂效果标准：室内有蟑螂成虫或若虫阳性房问不超过3%,有活动蟑螂卵房间不超2%,有蟑螂粪便、蜕皮等蟑迹的房间不超过5%。</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灭白蚁效果标准：施药后蚁路破坏后没有修复，一个月无出现新的白蚁活动迹象及不再排砂粒状的排泄物。</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工作要求</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鼠：采用药杀为主，器械捕灭为辅的综合方法。各院区公共地带、仓库、杂物间、设备房、电房、地下室采用定点设置老鼠屋，投放灭鼠药饵。通道每7-10米处布放一处老鼠屋；设备房、管井每个布放一处药盒，每堆药饵约30-50克，绿化带应用防潮的小塑料袋装灭鼠毒饵。定期交替使用药物避免产生适应性。结合使用物理方法除四害灭蚊灭鼠，例如使用粘鼠板，投放鼠笼等。定期配送粘鼠板到采购人(每年使用粘鼠板约20箱，每箱100块)。投(施)药点必须张贴标识并做好投放点台账，消杀后要及时跟进效果，并收到采购人告知后一小时内到达现场查找及清理死老鼠，定期检查堵塞鼠洞。</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蚊：室外、地下室、各楼层所有通道、走火通道、洗手间、下水道、绿化带等采用菊酯类杀虫剂进行空间喷洒，水井、沟渠等积水处投放药物，各类药物均要具有击倒效果强，致死作用好，滞留残效期长且对人安全无明显刺激作用，喷洒于玻璃板、胶合板、水泥板等表面无明显痕迹，适用于任何场所使用。室内区域采用安全无味无毒药物消杀。</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蝇：对垃圾收集点、垃圾房、食堂周围、重点地方的树木、绿化带用常量的药物滞留喷洒，对餐室、更衣室、洗手间、大堂、通道等区域进行空间喷洒，通道一米以内区域进行手压式喷雾器滞留喷洒，效果不达标要及时补救。工程使用的各类药用均具有击倒效果强，致死作用好，滞留效期长且对人安全，无明显刺激作用，适用于任何场所使用。</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蟑螂：主要处理医院内的所有餐室、公共通道、茶水间、管井设备房布放灭蟑胶饵，洗手间、沟渠、垃圾房进行滞留喷洒、对外围沙井，下水道采用烟薰，重点场所每周1次，消杀过后及时清理蟑螂尸体。对敏感区域发现有蟑螂的地方每周检查布放灭蟑诱饵。每种药物使用必须对人安全，适用于任何场所使用。若效果不达标的要及时补救。</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灭白蚁：对医院内出现白蚁的建筑或树木进行施药灭杀和找出蚁巢，应远离通讯配电系统和木装修主体部位。</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蚁类及其它有害生物灭治：每周必须检查服务区域内的办公区域、各科室部门的门窗、天花等所有木制品以及外围绿化树木、公共场地、停车场等，如发现蚁类、蜈蚣、毛毛虫、飞虫及其它有害生物时及时进行施药灭治。</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管理要求</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在服务期内，响应人每次投(施)药应至少提前一天通知采购人管理人员，与服务区域的负责人做好沟通及做好防护措施，并在指定的宣传栏贴出告示，所有鼠屋标识告示，确保我院工作人员、病患者及陪同人员的安全。</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于合同生效后的一个月内，完善“四害”防制设施(下水道和集水井防蚊闸、井盖防蚊胶塞、鼠屋等)。</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4小时负责服务范围内的鼠迹、蟑迹清理。</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若发现白蚁巢穴，响应人负责消杀清理。</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负责防鼠、防蝇设施的维修保养(在合同生效后一个月内完善)。</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负责购置、存放消杀药物及器械用具，采购人不提供存放场所及费用。使用的灭鼠杀虫药物按国家规定要有“三证”,并将“三证”提供给采购人存档，严禁使用急性灭鼠药或其它明文禁用药物。</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按《广州市灭鼠杀虫服务行业管理办法》的有关要求，确保在服务期内服务项目控制在国家和地方规定的病媒生物防制标准范围内。</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每次消杀施工，均有1名工程负责人带队，并安排足够工作人员(至少3人以上)到场。响应人根据效果增减消杀次数，在安全、环保前提下确保“四害”密度达标。另外，响应人严格执行上级部门下发的关于“四害”防制文件精神，开展统一紧急的消杀防控工作活动，响应人必须迅速响应，若不按要求执行，当月考评不及格，并承担因此对采购人所造成的影响及损失。响应人每周安排一名专业技术人员提前(不含到场消杀时间当计算)到我院负责四害的日常检查，每周驻点时间不少两天，每天4小时，每月要进行“四害”密度监测，“四害”活动高峰期或流行病暴发(以“四害”为病媒的)期间每周要进行“四害”密度监测，并根据检测结果评估、实施“四害”消杀工作，及时将有关检测记录、消杀工作资料提供给采购人。响应人每月安排质检部专业技术主管到现场进行监督检查并提供专业指导，书面提交相关检查资料。响应人若不按合同履行服务，采购人有权根据服务考评情况扣减服务费，情节严重有权终止合同，响应人除支付违约金外还应赔偿由此造成采购人的一切损失和后果。</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在服务期间，采购人如有重大会议、活动、重点政务接待、各项检查等，响应人应积极配合医院迎检工作，确保“四害”防制达标。</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响应人服务人员要严格遵守“四害”消杀技术操作规程，穿戴统一工作服和佩戴上岗证，文明作业。每次消杀前须公示，每完成一个部门的消杀，需填写“四害”消杀记录表并有该部门负责人的签名确认，作为当次服务的凭据。</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负责采购人“四害”基础设施的配置和维护，督促采购人、物业管理公司、饭堂做好四害防制措施，搞好环境卫生，对重点部门和区域(包括饭堂)每周需要督导检查，并有义务和责任协助驻院的社会化公司进行四害的消杀和防制，防止“四害”滋生。</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响应人投(施)药时，需做好有效的防护措施。如因药物使用不当引起人员或牲畜中毒、损失、损害，绿化植物死亡或其它责任事故的，因此产生的所有责任及费用由响应人承担，与采购人无关。</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服务应及时到位，保证服务质量。</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宋体" w:hAnsi="宋体" w:eastAsia="宋体" w:cs="宋体"/>
          <w:spacing w:val="-3"/>
          <w:sz w:val="21"/>
          <w:szCs w:val="21"/>
          <w:lang w:val="en-US" w:eastAsia="zh-CN"/>
        </w:rPr>
        <w:t>响应人须向采购人定期的提交资料：</w:t>
      </w:r>
      <w:r>
        <w:rPr>
          <w:rFonts w:hint="eastAsia" w:asciiTheme="majorEastAsia" w:hAnsiTheme="majorEastAsia" w:eastAsiaTheme="majorEastAsia"/>
        </w:rPr>
        <w:t>每半年提供一份消杀计划、总结。每月向</w:t>
      </w:r>
      <w:r>
        <w:rPr>
          <w:rFonts w:hint="eastAsia" w:asciiTheme="majorEastAsia" w:hAnsiTheme="majorEastAsia" w:eastAsiaTheme="majorEastAsia"/>
          <w:lang w:eastAsia="zh-CN"/>
        </w:rPr>
        <w:t>采购人</w:t>
      </w:r>
      <w:r>
        <w:rPr>
          <w:rFonts w:hint="eastAsia" w:asciiTheme="majorEastAsia" w:hAnsiTheme="majorEastAsia" w:eastAsiaTheme="majorEastAsia"/>
        </w:rPr>
        <w:t>提交一份《四害密度监测表》、《服务质量问题整改反馈表》、《月度消杀情况工作总结》等，每周提供《本项目工作检查记录》《“四害”消杀记录表》。消杀人员到每个科室消杀后要求科室人员做好签名评价，公共地方由主管部门评价确认，每次消杀后</w:t>
      </w:r>
      <w:r>
        <w:rPr>
          <w:rFonts w:hint="eastAsia" w:asciiTheme="majorEastAsia" w:hAnsiTheme="majorEastAsia" w:eastAsiaTheme="majorEastAsia"/>
          <w:lang w:eastAsia="zh-CN"/>
        </w:rPr>
        <w:t>响应人</w:t>
      </w:r>
      <w:r>
        <w:rPr>
          <w:rFonts w:hint="eastAsia" w:asciiTheme="majorEastAsia" w:hAnsiTheme="majorEastAsia" w:eastAsiaTheme="majorEastAsia"/>
        </w:rPr>
        <w:t>要跟进并记录消杀效果，效果不显著要及时补救。</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响应人每次到采购人消杀四害前必须在采购人指定的地点张贴“四害”消杀告知。</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其他要求：</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严格按照双方所共同制订的各项作业标准，指派具有相应资质的从业人员为</w:t>
      </w:r>
      <w:r>
        <w:rPr>
          <w:rFonts w:hint="eastAsia" w:asciiTheme="majorEastAsia" w:hAnsiTheme="majorEastAsia" w:eastAsiaTheme="majorEastAsia"/>
          <w:lang w:eastAsia="zh-CN"/>
        </w:rPr>
        <w:t>采购人</w:t>
      </w:r>
      <w:r>
        <w:rPr>
          <w:rFonts w:hint="eastAsia" w:asciiTheme="majorEastAsia" w:hAnsiTheme="majorEastAsia" w:eastAsiaTheme="majorEastAsia"/>
        </w:rPr>
        <w:t>提供专业防治服务，并严格安全教育、培训和管理，作业期间从业人员发生的一切事故由</w:t>
      </w:r>
      <w:r>
        <w:rPr>
          <w:rFonts w:hint="eastAsia" w:asciiTheme="majorEastAsia" w:hAnsiTheme="majorEastAsia" w:eastAsiaTheme="majorEastAsia"/>
          <w:lang w:eastAsia="zh-CN"/>
        </w:rPr>
        <w:t>响应人</w:t>
      </w:r>
      <w:r>
        <w:rPr>
          <w:rFonts w:hint="eastAsia" w:asciiTheme="majorEastAsia" w:hAnsiTheme="majorEastAsia" w:eastAsiaTheme="majorEastAsia"/>
        </w:rPr>
        <w:t>承担责任，与</w:t>
      </w:r>
      <w:r>
        <w:rPr>
          <w:rFonts w:hint="eastAsia" w:asciiTheme="majorEastAsia" w:hAnsiTheme="majorEastAsia" w:eastAsiaTheme="majorEastAsia"/>
          <w:lang w:eastAsia="zh-CN"/>
        </w:rPr>
        <w:t>采购人</w:t>
      </w:r>
      <w:r>
        <w:rPr>
          <w:rFonts w:hint="eastAsia" w:asciiTheme="majorEastAsia" w:hAnsiTheme="majorEastAsia" w:eastAsiaTheme="majorEastAsia"/>
        </w:rPr>
        <w:t>无关。</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严格要求遵守各项规章制度。维护</w:t>
      </w:r>
      <w:r>
        <w:rPr>
          <w:rFonts w:hint="eastAsia" w:asciiTheme="majorEastAsia" w:hAnsiTheme="majorEastAsia" w:eastAsiaTheme="majorEastAsia"/>
          <w:lang w:eastAsia="zh-CN"/>
        </w:rPr>
        <w:t>采购人</w:t>
      </w:r>
      <w:r>
        <w:rPr>
          <w:rFonts w:hint="eastAsia" w:asciiTheme="majorEastAsia" w:hAnsiTheme="majorEastAsia" w:eastAsiaTheme="majorEastAsia"/>
        </w:rPr>
        <w:t>所有公共设施，损坏物品照价赔偿。</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如遇特殊检查，</w:t>
      </w:r>
      <w:r>
        <w:rPr>
          <w:rFonts w:hint="eastAsia" w:asciiTheme="majorEastAsia" w:hAnsiTheme="majorEastAsia" w:eastAsiaTheme="majorEastAsia"/>
          <w:lang w:eastAsia="zh-CN"/>
        </w:rPr>
        <w:t>响应人</w:t>
      </w:r>
      <w:r>
        <w:rPr>
          <w:rFonts w:hint="eastAsia" w:asciiTheme="majorEastAsia" w:hAnsiTheme="majorEastAsia" w:eastAsiaTheme="majorEastAsia"/>
        </w:rPr>
        <w:t>应无条件配合并1小时内到达</w:t>
      </w:r>
      <w:r>
        <w:rPr>
          <w:rFonts w:hint="eastAsia" w:asciiTheme="majorEastAsia" w:hAnsiTheme="majorEastAsia" w:eastAsiaTheme="majorEastAsia"/>
          <w:lang w:eastAsia="zh-CN"/>
        </w:rPr>
        <w:t>采购人</w:t>
      </w:r>
      <w:r>
        <w:rPr>
          <w:rFonts w:hint="eastAsia" w:asciiTheme="majorEastAsia" w:hAnsiTheme="majorEastAsia" w:eastAsiaTheme="majorEastAsia"/>
        </w:rPr>
        <w:t>指定服务项目辖区内对全部服务辖区检查一次，发现问题及时处理。如违反时间规定每次扣300元，在月服务费中扣除。</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重大节日(元旦、春节、五一、国庆)前一个星期内，对全部服务辖区检查一次，发现问题及时处理。</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每月存在超过2次各科室对灭杀工作不满意或投诉时，扣罚</w:t>
      </w:r>
      <w:r>
        <w:rPr>
          <w:rFonts w:hint="eastAsia" w:asciiTheme="majorEastAsia" w:hAnsiTheme="majorEastAsia" w:eastAsiaTheme="majorEastAsia"/>
          <w:lang w:eastAsia="zh-CN"/>
        </w:rPr>
        <w:t>响应人</w:t>
      </w:r>
      <w:r>
        <w:rPr>
          <w:rFonts w:hint="eastAsia" w:asciiTheme="majorEastAsia" w:hAnsiTheme="majorEastAsia" w:eastAsiaTheme="majorEastAsia"/>
        </w:rPr>
        <w:t>当月服务费200元，连续3个月内每月投诉超过2次，</w:t>
      </w:r>
      <w:r>
        <w:rPr>
          <w:rFonts w:hint="eastAsia" w:asciiTheme="majorEastAsia" w:hAnsiTheme="majorEastAsia" w:eastAsiaTheme="majorEastAsia"/>
          <w:lang w:eastAsia="zh-CN"/>
        </w:rPr>
        <w:t>采购人</w:t>
      </w:r>
      <w:r>
        <w:rPr>
          <w:rFonts w:hint="eastAsia" w:asciiTheme="majorEastAsia" w:hAnsiTheme="majorEastAsia" w:eastAsiaTheme="majorEastAsia"/>
        </w:rPr>
        <w:t>有权终止合同，</w:t>
      </w:r>
      <w:r>
        <w:rPr>
          <w:rFonts w:hint="eastAsia" w:asciiTheme="majorEastAsia" w:hAnsiTheme="majorEastAsia" w:eastAsiaTheme="majorEastAsia"/>
          <w:lang w:eastAsia="zh-CN"/>
        </w:rPr>
        <w:t>响应人</w:t>
      </w:r>
      <w:r>
        <w:rPr>
          <w:rFonts w:hint="eastAsia" w:asciiTheme="majorEastAsia" w:hAnsiTheme="majorEastAsia" w:eastAsiaTheme="majorEastAsia"/>
        </w:rPr>
        <w:t>须赔偿</w:t>
      </w:r>
      <w:r>
        <w:rPr>
          <w:rFonts w:hint="eastAsia" w:asciiTheme="majorEastAsia" w:hAnsiTheme="majorEastAsia" w:eastAsiaTheme="majorEastAsia"/>
          <w:lang w:eastAsia="zh-CN"/>
        </w:rPr>
        <w:t>采购人</w:t>
      </w:r>
      <w:r>
        <w:rPr>
          <w:rFonts w:hint="eastAsia" w:asciiTheme="majorEastAsia" w:hAnsiTheme="majorEastAsia" w:eastAsiaTheme="majorEastAsia"/>
        </w:rPr>
        <w:t>合同总价5%的违约金。</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付款方式</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rPr>
        <w:t>本项目实行按月度结算，院本部及沙湾院区的服务费用合并结算，由</w:t>
      </w:r>
      <w:r>
        <w:rPr>
          <w:rFonts w:hint="eastAsia" w:asciiTheme="majorEastAsia" w:hAnsiTheme="majorEastAsia" w:eastAsiaTheme="majorEastAsia"/>
          <w:lang w:eastAsia="zh-CN"/>
        </w:rPr>
        <w:t>响应人</w:t>
      </w:r>
      <w:r>
        <w:rPr>
          <w:rFonts w:hint="eastAsia" w:asciiTheme="majorEastAsia" w:hAnsiTheme="majorEastAsia" w:eastAsiaTheme="majorEastAsia"/>
        </w:rPr>
        <w:t>与</w:t>
      </w:r>
      <w:r>
        <w:rPr>
          <w:rFonts w:hint="eastAsia" w:asciiTheme="majorEastAsia" w:hAnsiTheme="majorEastAsia" w:eastAsiaTheme="majorEastAsia"/>
          <w:lang w:eastAsia="zh-CN"/>
        </w:rPr>
        <w:t>采购人</w:t>
      </w:r>
      <w:r>
        <w:rPr>
          <w:rFonts w:hint="eastAsia" w:asciiTheme="majorEastAsia" w:hAnsiTheme="majorEastAsia" w:eastAsiaTheme="majorEastAsia"/>
        </w:rPr>
        <w:t>结算；中心的服务费用由</w:t>
      </w:r>
      <w:r>
        <w:rPr>
          <w:rFonts w:hint="eastAsia" w:asciiTheme="majorEastAsia" w:hAnsiTheme="majorEastAsia" w:eastAsiaTheme="majorEastAsia"/>
          <w:lang w:eastAsia="zh-CN"/>
        </w:rPr>
        <w:t>响应人</w:t>
      </w:r>
      <w:r>
        <w:rPr>
          <w:rFonts w:hint="eastAsia" w:asciiTheme="majorEastAsia" w:hAnsiTheme="majorEastAsia" w:eastAsiaTheme="majorEastAsia"/>
        </w:rPr>
        <w:t>与中心单独结算。</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Theme="majorEastAsia" w:hAnsiTheme="majorEastAsia" w:eastAsiaTheme="majorEastAsia"/>
        </w:rPr>
      </w:pPr>
      <w:r>
        <w:rPr>
          <w:rFonts w:hint="eastAsia" w:asciiTheme="majorEastAsia" w:hAnsiTheme="majorEastAsia" w:eastAsiaTheme="majorEastAsia"/>
          <w:lang w:eastAsia="zh-CN"/>
        </w:rPr>
        <w:t>响应人</w:t>
      </w:r>
      <w:r>
        <w:rPr>
          <w:rFonts w:hint="eastAsia" w:asciiTheme="majorEastAsia" w:hAnsiTheme="majorEastAsia" w:eastAsiaTheme="majorEastAsia"/>
        </w:rPr>
        <w:t>服务完毕后，必须按时与</w:t>
      </w:r>
      <w:r>
        <w:rPr>
          <w:rFonts w:hint="eastAsia" w:asciiTheme="majorEastAsia" w:hAnsiTheme="majorEastAsia" w:eastAsiaTheme="majorEastAsia"/>
          <w:lang w:eastAsia="zh-CN"/>
        </w:rPr>
        <w:t>采购人</w:t>
      </w:r>
      <w:r>
        <w:rPr>
          <w:rFonts w:hint="eastAsia" w:asciiTheme="majorEastAsia" w:hAnsiTheme="majorEastAsia" w:eastAsiaTheme="majorEastAsia"/>
        </w:rPr>
        <w:t>进行结算工作，如由于</w:t>
      </w:r>
      <w:r>
        <w:rPr>
          <w:rFonts w:hint="eastAsia" w:asciiTheme="majorEastAsia" w:hAnsiTheme="majorEastAsia" w:eastAsiaTheme="majorEastAsia"/>
          <w:lang w:eastAsia="zh-CN"/>
        </w:rPr>
        <w:t>响应人</w:t>
      </w:r>
      <w:r>
        <w:rPr>
          <w:rFonts w:hint="eastAsia" w:asciiTheme="majorEastAsia" w:hAnsiTheme="majorEastAsia" w:eastAsiaTheme="majorEastAsia"/>
        </w:rPr>
        <w:t>自身的原因未能在下月30号前提交上月的足额发票，</w:t>
      </w:r>
      <w:r>
        <w:rPr>
          <w:rFonts w:hint="eastAsia" w:asciiTheme="majorEastAsia" w:hAnsiTheme="majorEastAsia" w:eastAsiaTheme="majorEastAsia"/>
          <w:lang w:eastAsia="zh-CN"/>
        </w:rPr>
        <w:t>采购人</w:t>
      </w:r>
      <w:r>
        <w:rPr>
          <w:rFonts w:hint="eastAsia" w:asciiTheme="majorEastAsia" w:hAnsiTheme="majorEastAsia" w:eastAsiaTheme="majorEastAsia"/>
        </w:rPr>
        <w:t>支付费用时间相应延后。</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知识产权产权归属</w:t>
      </w:r>
    </w:p>
    <w:p>
      <w:pPr>
        <w:keepNext w:val="0"/>
        <w:keepLines w:val="0"/>
        <w:pageBreakBefore w:val="0"/>
        <w:widowControl/>
        <w:kinsoku/>
        <w:wordWrap/>
        <w:overflowPunct/>
        <w:topLinePunct w:val="0"/>
        <w:autoSpaceDE/>
        <w:autoSpaceDN/>
        <w:bidi w:val="0"/>
        <w:adjustRightInd/>
        <w:snapToGrid/>
        <w:spacing w:after="0"/>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lang w:eastAsia="zh-CN"/>
        </w:rPr>
        <w:t>响应人</w:t>
      </w:r>
      <w:r>
        <w:rPr>
          <w:rFonts w:hint="eastAsia" w:asciiTheme="majorEastAsia" w:hAnsiTheme="majorEastAsia" w:eastAsiaTheme="majorEastAsia"/>
        </w:rPr>
        <w:t>应保证本项目的投标技术、服务或其任何一部分不会产生因第三方提出侵犯其专利权、商标权或其他知识产权而引起的法律和经济纠纷；如因第三方提出其专利权、商标权或其他知识产权的侵权之诉，则一切法律责任由</w:t>
      </w:r>
      <w:r>
        <w:rPr>
          <w:rFonts w:hint="eastAsia" w:asciiTheme="majorEastAsia" w:hAnsiTheme="majorEastAsia" w:eastAsiaTheme="majorEastAsia"/>
          <w:lang w:eastAsia="zh-CN"/>
        </w:rPr>
        <w:t>响应人</w:t>
      </w:r>
      <w:r>
        <w:rPr>
          <w:rFonts w:hint="eastAsia" w:asciiTheme="majorEastAsia" w:hAnsiTheme="majorEastAsia" w:eastAsiaTheme="majorEastAsia"/>
        </w:rPr>
        <w:t>承担。</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税费</w:t>
      </w:r>
    </w:p>
    <w:p>
      <w:pPr>
        <w:keepNext w:val="0"/>
        <w:keepLines w:val="0"/>
        <w:pageBreakBefore w:val="0"/>
        <w:widowControl/>
        <w:kinsoku/>
        <w:wordWrap/>
        <w:overflowPunct/>
        <w:topLinePunct w:val="0"/>
        <w:autoSpaceDE/>
        <w:autoSpaceDN/>
        <w:bidi w:val="0"/>
        <w:adjustRightInd/>
        <w:snapToGrid/>
        <w:spacing w:after="0"/>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在中国境内、外发生的与本</w:t>
      </w:r>
      <w:r>
        <w:rPr>
          <w:rFonts w:hint="eastAsia" w:asciiTheme="majorEastAsia" w:hAnsiTheme="majorEastAsia" w:eastAsiaTheme="majorEastAsia"/>
          <w:lang w:val="en-US" w:eastAsia="zh-CN"/>
        </w:rPr>
        <w:t>项目</w:t>
      </w:r>
      <w:r>
        <w:rPr>
          <w:rFonts w:hint="eastAsia" w:asciiTheme="majorEastAsia" w:hAnsiTheme="majorEastAsia" w:eastAsiaTheme="majorEastAsia"/>
        </w:rPr>
        <w:t>执行有关的一切税费均由</w:t>
      </w:r>
      <w:r>
        <w:rPr>
          <w:rFonts w:hint="eastAsia" w:asciiTheme="majorEastAsia" w:hAnsiTheme="majorEastAsia" w:eastAsiaTheme="majorEastAsia"/>
          <w:lang w:eastAsia="zh-CN"/>
        </w:rPr>
        <w:t>响应人</w:t>
      </w:r>
      <w:r>
        <w:rPr>
          <w:rFonts w:hint="eastAsia" w:asciiTheme="majorEastAsia" w:hAnsiTheme="majorEastAsia" w:eastAsiaTheme="majorEastAsia"/>
        </w:rPr>
        <w:t>负担。</w:t>
      </w:r>
    </w:p>
    <w:p>
      <w:pPr>
        <w:numPr>
          <w:ilvl w:val="0"/>
          <w:numId w:val="0"/>
        </w:numPr>
        <w:spacing w:before="68" w:line="219" w:lineRule="auto"/>
        <w:ind w:leftChars="0"/>
        <w:rPr>
          <w:rFonts w:hint="eastAsia" w:ascii="宋体" w:hAnsi="宋体" w:eastAsia="宋体" w:cs="宋体"/>
          <w:spacing w:val="-3"/>
          <w:sz w:val="21"/>
          <w:szCs w:val="21"/>
          <w:lang w:val="en-US" w:eastAsia="zh-CN"/>
        </w:rPr>
      </w:pPr>
    </w:p>
    <w:p>
      <w:pPr>
        <w:numPr>
          <w:ilvl w:val="0"/>
          <w:numId w:val="0"/>
        </w:numPr>
        <w:spacing w:before="68" w:line="219" w:lineRule="auto"/>
        <w:ind w:leftChars="0"/>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附件1：番禺区何贤纪念医院除“四害”服务质量考核表</w:t>
      </w:r>
    </w:p>
    <w:p>
      <w:pPr>
        <w:rPr>
          <w:rFonts w:hint="eastAsia" w:ascii="宋体" w:hAnsi="宋体" w:eastAsia="宋体" w:cs="宋体"/>
          <w:spacing w:val="-3"/>
          <w:sz w:val="21"/>
          <w:szCs w:val="21"/>
        </w:rPr>
      </w:pPr>
      <w:r>
        <w:rPr>
          <w:rFonts w:hint="eastAsia" w:ascii="宋体" w:hAnsi="宋体" w:eastAsia="宋体" w:cs="宋体"/>
          <w:spacing w:val="-3"/>
          <w:sz w:val="21"/>
          <w:szCs w:val="21"/>
        </w:rPr>
        <w:br w:type="page"/>
      </w:r>
    </w:p>
    <w:p>
      <w:pPr>
        <w:numPr>
          <w:ilvl w:val="0"/>
          <w:numId w:val="0"/>
        </w:numPr>
        <w:spacing w:before="68" w:line="219" w:lineRule="auto"/>
        <w:ind w:leftChars="0"/>
        <w:rPr>
          <w:rFonts w:hint="eastAsia" w:ascii="宋体" w:hAnsi="宋体" w:eastAsia="宋体" w:cs="宋体"/>
          <w:spacing w:val="-3"/>
          <w:sz w:val="21"/>
          <w:szCs w:val="21"/>
          <w:lang w:eastAsia="zh-CN"/>
        </w:rPr>
      </w:pPr>
      <w:r>
        <w:rPr>
          <w:rFonts w:hint="eastAsia" w:ascii="宋体" w:hAnsi="宋体" w:eastAsia="宋体" w:cs="宋体"/>
          <w:spacing w:val="-3"/>
          <w:sz w:val="21"/>
          <w:szCs w:val="21"/>
        </w:rPr>
        <w:t>附件</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lang w:eastAsia="zh-CN"/>
        </w:rPr>
        <w:t>：番禺区何贤纪念医院除“四害”服务质量考核表</w:t>
      </w:r>
    </w:p>
    <w:tbl>
      <w:tblPr>
        <w:tblStyle w:val="14"/>
        <w:tblW w:w="92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079"/>
        <w:gridCol w:w="3231"/>
        <w:gridCol w:w="624"/>
        <w:gridCol w:w="1082"/>
        <w:gridCol w:w="742"/>
        <w:gridCol w:w="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3" w:type="dxa"/>
            <w:gridSpan w:val="7"/>
            <w:tcBorders>
              <w:top w:val="single" w:color="auto" w:sz="12" w:space="0"/>
              <w:left w:val="single" w:color="auto" w:sz="12" w:space="0"/>
              <w:bottom w:val="single" w:color="auto" w:sz="4" w:space="0"/>
              <w:right w:val="single" w:color="auto" w:sz="12" w:space="0"/>
            </w:tcBorders>
            <w:vAlign w:val="center"/>
          </w:tcPr>
          <w:p>
            <w:pPr>
              <w:widowControl w:val="0"/>
              <w:spacing w:after="0" w:line="240" w:lineRule="auto"/>
              <w:jc w:val="center"/>
              <w:rPr>
                <w:rFonts w:ascii="Calibri" w:hAnsi="Calibri" w:eastAsia="宋体" w:cs="Times New Roman"/>
                <w:b/>
                <w:bCs/>
                <w:kern w:val="2"/>
                <w:sz w:val="18"/>
              </w:rPr>
            </w:pPr>
            <w:r>
              <w:rPr>
                <w:rFonts w:hint="eastAsia" w:ascii="宋体" w:hAnsi="宋体" w:eastAsia="宋体" w:cs="Times New Roman"/>
                <w:b/>
                <w:bCs/>
                <w:kern w:val="2"/>
                <w:sz w:val="18"/>
              </w:rPr>
              <w:t>番禺区何贤纪念医院除“四害”服务质量考核表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编号</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考评内容</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扣罚细则</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分值</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发现问题</w:t>
            </w: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得分</w:t>
            </w: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uto"/>
              <w:jc w:val="both"/>
              <w:rPr>
                <w:rFonts w:ascii="Calibri" w:hAnsi="Calibri" w:eastAsia="宋体" w:cs="Times New Roman"/>
                <w:b/>
                <w:kern w:val="2"/>
                <w:sz w:val="18"/>
              </w:rPr>
            </w:pPr>
            <w:r>
              <w:rPr>
                <w:rFonts w:hint="eastAsia" w:ascii="宋体" w:hAnsi="宋体" w:eastAsia="宋体" w:cs="Times New Roman"/>
                <w:b/>
                <w:kern w:val="2"/>
                <w:sz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1</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消杀药械符合行业管理要求。</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若发现一次不符合要求则扣罚</w:t>
            </w:r>
            <w:r>
              <w:rPr>
                <w:rFonts w:hint="eastAsia" w:ascii="Calibri" w:hAnsi="Calibri" w:eastAsia="宋体" w:cs="Times New Roman"/>
                <w:kern w:val="2"/>
                <w:sz w:val="18"/>
              </w:rPr>
              <w:t>30%</w:t>
            </w:r>
            <w:r>
              <w:rPr>
                <w:rFonts w:hint="eastAsia" w:ascii="宋体" w:hAnsi="宋体" w:eastAsia="宋体" w:cs="Times New Roman"/>
                <w:kern w:val="2"/>
                <w:sz w:val="18"/>
              </w:rPr>
              <w:t>月服务费和扣</w:t>
            </w:r>
            <w:r>
              <w:rPr>
                <w:rFonts w:hint="eastAsia" w:ascii="Calibri" w:hAnsi="Calibri" w:eastAsia="宋体" w:cs="Times New Roman"/>
                <w:kern w:val="2"/>
                <w:sz w:val="18"/>
              </w:rPr>
              <w:t>10</w:t>
            </w:r>
            <w:r>
              <w:rPr>
                <w:rFonts w:hint="eastAsia" w:ascii="宋体" w:hAnsi="宋体" w:eastAsia="宋体" w:cs="Times New Roman"/>
                <w:kern w:val="2"/>
                <w:sz w:val="18"/>
              </w:rPr>
              <w:t>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2</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操作人员相对固定、持证上岗、穿工作服、佩带胸卡、良好的服务态度。</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不符合要求扣</w:t>
            </w:r>
            <w:r>
              <w:rPr>
                <w:rFonts w:hint="eastAsia" w:ascii="Calibri" w:hAnsi="Calibri" w:eastAsia="宋体" w:cs="Times New Roman"/>
                <w:kern w:val="2"/>
                <w:sz w:val="18"/>
              </w:rPr>
              <w:t>1</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人</w:t>
            </w:r>
            <w:r>
              <w:rPr>
                <w:rFonts w:hint="eastAsia" w:ascii="Calibri" w:hAnsi="Calibri" w:eastAsia="宋体" w:cs="Times New Roman"/>
                <w:kern w:val="2"/>
                <w:sz w:val="18"/>
              </w:rPr>
              <w:t>/</w:t>
            </w:r>
            <w:r>
              <w:rPr>
                <w:rFonts w:hint="eastAsia" w:ascii="宋体" w:hAnsi="宋体" w:eastAsia="宋体" w:cs="Times New Roman"/>
                <w:kern w:val="2"/>
                <w:sz w:val="18"/>
              </w:rPr>
              <w:t>次</w:t>
            </w:r>
            <w:r>
              <w:rPr>
                <w:rFonts w:hint="eastAsia" w:ascii="Calibri" w:hAnsi="Calibri" w:eastAsia="宋体" w:cs="Times New Roman"/>
                <w:kern w:val="2"/>
                <w:sz w:val="18"/>
              </w:rPr>
              <w:t>/</w:t>
            </w:r>
            <w:r>
              <w:rPr>
                <w:rFonts w:hint="eastAsia" w:ascii="宋体" w:hAnsi="宋体" w:eastAsia="宋体" w:cs="Times New Roman"/>
                <w:kern w:val="2"/>
                <w:sz w:val="18"/>
              </w:rPr>
              <w:t>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5</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3</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服务质量投诉。</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四害服务质量投诉情况属实，扣</w:t>
            </w:r>
            <w:r>
              <w:rPr>
                <w:rFonts w:hint="eastAsia" w:ascii="Calibri" w:hAnsi="Calibri" w:eastAsia="宋体" w:cs="Times New Roman"/>
                <w:kern w:val="2"/>
                <w:sz w:val="18"/>
              </w:rPr>
              <w:t>5</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次，情节严重的扣</w:t>
            </w:r>
            <w:r>
              <w:rPr>
                <w:rFonts w:hint="eastAsia" w:ascii="Calibri" w:hAnsi="Calibri" w:eastAsia="宋体" w:cs="Times New Roman"/>
                <w:kern w:val="2"/>
                <w:sz w:val="18"/>
              </w:rPr>
              <w:t>10</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4</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按照消杀频率及要求开展四害消杀工作，并记录完整、规范。</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缺少一次全院投药、消杀四害扣</w:t>
            </w:r>
            <w:r>
              <w:rPr>
                <w:rFonts w:hint="eastAsia" w:ascii="Calibri" w:hAnsi="Calibri" w:eastAsia="宋体" w:cs="Times New Roman"/>
                <w:kern w:val="2"/>
                <w:sz w:val="18"/>
              </w:rPr>
              <w:t>15</w:t>
            </w:r>
            <w:r>
              <w:rPr>
                <w:rFonts w:hint="eastAsia" w:ascii="宋体" w:hAnsi="宋体" w:eastAsia="宋体" w:cs="Times New Roman"/>
                <w:kern w:val="2"/>
                <w:sz w:val="18"/>
              </w:rPr>
              <w:t>分，并要求每月全院各科室、各部门室内消杀不少于一次，不符合要求扣</w:t>
            </w:r>
            <w:r>
              <w:rPr>
                <w:rFonts w:hint="eastAsia" w:ascii="Calibri" w:hAnsi="Calibri" w:eastAsia="宋体" w:cs="Times New Roman"/>
                <w:kern w:val="2"/>
                <w:sz w:val="18"/>
              </w:rPr>
              <w:t>3</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w:t>
            </w:r>
            <w:r>
              <w:rPr>
                <w:rFonts w:hint="eastAsia" w:ascii="Calibri" w:hAnsi="Calibri" w:eastAsia="宋体" w:cs="Times New Roman"/>
                <w:kern w:val="2"/>
                <w:sz w:val="18"/>
              </w:rPr>
              <w:t>/</w:t>
            </w:r>
            <w:r>
              <w:rPr>
                <w:rFonts w:hint="eastAsia" w:ascii="宋体" w:hAnsi="宋体" w:eastAsia="宋体" w:cs="Times New Roman"/>
                <w:kern w:val="2"/>
                <w:sz w:val="18"/>
              </w:rPr>
              <w:t>科；每次消杀须有记录，并按时提交所有消杀工作台账、总结等资料。记录不完整或缺交每次各扣</w:t>
            </w:r>
            <w:r>
              <w:rPr>
                <w:rFonts w:hint="eastAsia" w:ascii="Calibri" w:hAnsi="Calibri" w:eastAsia="宋体" w:cs="Times New Roman"/>
                <w:kern w:val="2"/>
                <w:sz w:val="18"/>
              </w:rPr>
              <w:t>1</w:t>
            </w:r>
            <w:r>
              <w:rPr>
                <w:rFonts w:hint="eastAsia" w:ascii="宋体" w:hAnsi="宋体" w:eastAsia="宋体" w:cs="Times New Roman"/>
                <w:kern w:val="2"/>
                <w:sz w:val="18"/>
              </w:rPr>
              <w:t>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15</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5</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消杀前按要求张贴告示和通知相关科室并征得同意，按约定时间消杀。</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不按要求或科室投诉属实，每次扣</w:t>
            </w:r>
            <w:r>
              <w:rPr>
                <w:rFonts w:hint="eastAsia" w:ascii="Calibri" w:hAnsi="Calibri" w:eastAsia="宋体" w:cs="Times New Roman"/>
                <w:kern w:val="2"/>
                <w:sz w:val="18"/>
              </w:rPr>
              <w:t>2</w:t>
            </w:r>
            <w:r>
              <w:rPr>
                <w:rFonts w:hint="eastAsia" w:ascii="宋体" w:hAnsi="宋体" w:eastAsia="宋体" w:cs="Times New Roman"/>
                <w:kern w:val="2"/>
                <w:sz w:val="18"/>
              </w:rPr>
              <w:t>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6</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蚊蝇蟑螂消杀效果。</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蚊、蝇、蟑螂密度超标扣</w:t>
            </w:r>
            <w:r>
              <w:rPr>
                <w:rFonts w:hint="eastAsia" w:ascii="Calibri" w:hAnsi="Calibri" w:eastAsia="宋体" w:cs="Times New Roman"/>
                <w:kern w:val="2"/>
                <w:sz w:val="18"/>
              </w:rPr>
              <w:t>3</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w:t>
            </w:r>
            <w:r>
              <w:rPr>
                <w:rFonts w:hint="eastAsia" w:ascii="Calibri" w:hAnsi="Calibri" w:eastAsia="宋体" w:cs="Times New Roman"/>
                <w:kern w:val="2"/>
                <w:sz w:val="18"/>
              </w:rPr>
              <w:t>/</w:t>
            </w:r>
            <w:r>
              <w:rPr>
                <w:rFonts w:hint="eastAsia" w:ascii="宋体" w:hAnsi="宋体" w:eastAsia="宋体" w:cs="Times New Roman"/>
                <w:kern w:val="2"/>
                <w:sz w:val="18"/>
              </w:rPr>
              <w:t>科组或区域。被上级或主管部门通报密度超标的每次扣</w:t>
            </w:r>
            <w:r>
              <w:rPr>
                <w:rFonts w:hint="eastAsia" w:ascii="Calibri" w:hAnsi="Calibri" w:eastAsia="宋体" w:cs="Times New Roman"/>
                <w:kern w:val="2"/>
                <w:sz w:val="18"/>
              </w:rPr>
              <w:t>10-15</w:t>
            </w:r>
            <w:r>
              <w:rPr>
                <w:rFonts w:hint="eastAsia" w:ascii="宋体" w:hAnsi="宋体" w:eastAsia="宋体" w:cs="Times New Roman"/>
                <w:kern w:val="2"/>
                <w:sz w:val="18"/>
              </w:rPr>
              <w:t>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15</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7</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老鼠屋布置合理，投放及更换毒饵要及时，并有明显提醒标识。</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不符合要求，扣</w:t>
            </w:r>
            <w:r>
              <w:rPr>
                <w:rFonts w:hint="eastAsia" w:ascii="Calibri" w:hAnsi="Calibri" w:eastAsia="宋体" w:cs="Times New Roman"/>
                <w:kern w:val="2"/>
                <w:sz w:val="18"/>
              </w:rPr>
              <w:t>2</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处。</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8</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鼠消杀效果及善后处理。</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室内有活鼠或鼠迹，扣</w:t>
            </w:r>
            <w:r>
              <w:rPr>
                <w:rFonts w:hint="eastAsia" w:ascii="Calibri" w:hAnsi="Calibri" w:eastAsia="宋体" w:cs="Times New Roman"/>
                <w:kern w:val="2"/>
                <w:sz w:val="18"/>
              </w:rPr>
              <w:t>2</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科组或区域；发现死鼠未及时处理，扣</w:t>
            </w:r>
            <w:r>
              <w:rPr>
                <w:rFonts w:hint="eastAsia" w:ascii="Calibri" w:hAnsi="Calibri" w:eastAsia="宋体" w:cs="Times New Roman"/>
                <w:kern w:val="2"/>
                <w:sz w:val="18"/>
              </w:rPr>
              <w:t>2</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只。</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18" w:type="dxa"/>
            <w:tcBorders>
              <w:top w:val="single" w:color="auto" w:sz="4" w:space="0"/>
              <w:left w:val="single" w:color="auto" w:sz="12"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9</w:t>
            </w:r>
          </w:p>
        </w:tc>
        <w:tc>
          <w:tcPr>
            <w:tcW w:w="207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积极配合医院完成迎检工作、各项中心任务、“四害”应急消杀工作。</w:t>
            </w:r>
          </w:p>
        </w:tc>
        <w:tc>
          <w:tcPr>
            <w:tcW w:w="323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不配合医院完成任务每次扣</w:t>
            </w:r>
            <w:r>
              <w:rPr>
                <w:rFonts w:hint="eastAsia" w:ascii="Calibri" w:hAnsi="Calibri" w:eastAsia="宋体" w:cs="Times New Roman"/>
                <w:kern w:val="2"/>
                <w:sz w:val="18"/>
              </w:rPr>
              <w:t>30%</w:t>
            </w:r>
            <w:r>
              <w:rPr>
                <w:rFonts w:hint="eastAsia" w:ascii="宋体" w:hAnsi="宋体" w:eastAsia="宋体" w:cs="Times New Roman"/>
                <w:kern w:val="2"/>
                <w:sz w:val="18"/>
              </w:rPr>
              <w:t>月服务费和扣</w:t>
            </w:r>
            <w:r>
              <w:rPr>
                <w:rFonts w:hint="eastAsia" w:ascii="Calibri" w:hAnsi="Calibri" w:eastAsia="宋体" w:cs="Times New Roman"/>
                <w:kern w:val="2"/>
                <w:sz w:val="18"/>
              </w:rPr>
              <w:t>5</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w:t>
            </w:r>
          </w:p>
        </w:tc>
        <w:tc>
          <w:tcPr>
            <w:tcW w:w="624"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10</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4"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18" w:type="dxa"/>
            <w:tcBorders>
              <w:top w:val="single" w:color="auto" w:sz="4" w:space="0"/>
              <w:left w:val="single" w:color="auto" w:sz="12" w:space="0"/>
              <w:bottom w:val="single" w:color="auto" w:sz="12"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10</w:t>
            </w:r>
          </w:p>
        </w:tc>
        <w:tc>
          <w:tcPr>
            <w:tcW w:w="2079" w:type="dxa"/>
            <w:tcBorders>
              <w:top w:val="single" w:color="auto" w:sz="4" w:space="0"/>
              <w:left w:val="single" w:color="auto" w:sz="4" w:space="0"/>
              <w:bottom w:val="single" w:color="auto" w:sz="12"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技术人员配置</w:t>
            </w:r>
          </w:p>
        </w:tc>
        <w:tc>
          <w:tcPr>
            <w:tcW w:w="3231" w:type="dxa"/>
            <w:tcBorders>
              <w:top w:val="single" w:color="auto" w:sz="4" w:space="0"/>
              <w:left w:val="single" w:color="auto" w:sz="4" w:space="0"/>
              <w:bottom w:val="single" w:color="auto" w:sz="12" w:space="0"/>
              <w:right w:val="single" w:color="auto" w:sz="4" w:space="0"/>
            </w:tcBorders>
            <w:vAlign w:val="center"/>
          </w:tcPr>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不按要求配置</w:t>
            </w:r>
            <w:r>
              <w:rPr>
                <w:rFonts w:hint="eastAsia" w:ascii="Calibri" w:hAnsi="Calibri" w:eastAsia="宋体" w:cs="Times New Roman"/>
                <w:kern w:val="2"/>
                <w:sz w:val="18"/>
              </w:rPr>
              <w:t>3</w:t>
            </w:r>
            <w:r>
              <w:rPr>
                <w:rFonts w:hint="eastAsia" w:ascii="宋体" w:hAnsi="宋体" w:eastAsia="宋体" w:cs="Times New Roman"/>
                <w:kern w:val="2"/>
                <w:sz w:val="18"/>
              </w:rPr>
              <w:t>人</w:t>
            </w:r>
            <w:r>
              <w:rPr>
                <w:rFonts w:ascii="宋体" w:hAnsi="宋体" w:eastAsia="宋体" w:cs="Times New Roman"/>
                <w:kern w:val="2"/>
                <w:sz w:val="18"/>
              </w:rPr>
              <w:t>以上的</w:t>
            </w:r>
            <w:r>
              <w:rPr>
                <w:rFonts w:hint="eastAsia" w:ascii="宋体" w:hAnsi="宋体" w:eastAsia="宋体" w:cs="Times New Roman"/>
                <w:kern w:val="2"/>
                <w:sz w:val="18"/>
              </w:rPr>
              <w:t>技术人员或驻院技术人员未经同意调换扣</w:t>
            </w:r>
            <w:r>
              <w:rPr>
                <w:rFonts w:hint="eastAsia" w:ascii="Calibri" w:hAnsi="Calibri" w:eastAsia="宋体" w:cs="Times New Roman"/>
                <w:kern w:val="2"/>
                <w:sz w:val="18"/>
              </w:rPr>
              <w:t>5</w:t>
            </w:r>
            <w:r>
              <w:rPr>
                <w:rFonts w:hint="eastAsia" w:ascii="宋体" w:hAnsi="宋体" w:eastAsia="宋体" w:cs="Times New Roman"/>
                <w:kern w:val="2"/>
                <w:sz w:val="18"/>
              </w:rPr>
              <w:t>分</w:t>
            </w:r>
            <w:r>
              <w:rPr>
                <w:rFonts w:hint="eastAsia" w:ascii="Calibri" w:hAnsi="Calibri" w:eastAsia="宋体" w:cs="Times New Roman"/>
                <w:kern w:val="2"/>
                <w:sz w:val="18"/>
              </w:rPr>
              <w:t>/</w:t>
            </w:r>
            <w:r>
              <w:rPr>
                <w:rFonts w:hint="eastAsia" w:ascii="宋体" w:hAnsi="宋体" w:eastAsia="宋体" w:cs="Times New Roman"/>
                <w:kern w:val="2"/>
                <w:sz w:val="18"/>
              </w:rPr>
              <w:t>次。</w:t>
            </w:r>
          </w:p>
        </w:tc>
        <w:tc>
          <w:tcPr>
            <w:tcW w:w="624" w:type="dxa"/>
            <w:tcBorders>
              <w:top w:val="single" w:color="auto" w:sz="4" w:space="0"/>
              <w:left w:val="single" w:color="auto" w:sz="4" w:space="0"/>
              <w:bottom w:val="single" w:color="auto" w:sz="12"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r>
              <w:rPr>
                <w:rFonts w:hint="eastAsia" w:ascii="Calibri" w:hAnsi="Calibri" w:eastAsia="宋体" w:cs="Times New Roman"/>
                <w:kern w:val="2"/>
                <w:sz w:val="18"/>
              </w:rPr>
              <w:t>5</w:t>
            </w:r>
          </w:p>
        </w:tc>
        <w:tc>
          <w:tcPr>
            <w:tcW w:w="1082" w:type="dxa"/>
            <w:tcBorders>
              <w:top w:val="single" w:color="auto" w:sz="4" w:space="0"/>
              <w:left w:val="single" w:color="auto" w:sz="4" w:space="0"/>
              <w:bottom w:val="single" w:color="auto" w:sz="12"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742" w:type="dxa"/>
            <w:tcBorders>
              <w:top w:val="single" w:color="auto" w:sz="4" w:space="0"/>
              <w:left w:val="single" w:color="auto" w:sz="4" w:space="0"/>
              <w:bottom w:val="single" w:color="auto" w:sz="12" w:space="0"/>
              <w:right w:val="single" w:color="auto" w:sz="4" w:space="0"/>
            </w:tcBorders>
            <w:vAlign w:val="center"/>
          </w:tcPr>
          <w:p>
            <w:pPr>
              <w:widowControl w:val="0"/>
              <w:spacing w:after="0" w:line="240" w:lineRule="atLeast"/>
              <w:jc w:val="both"/>
              <w:rPr>
                <w:rFonts w:ascii="Calibri" w:hAnsi="Calibri" w:eastAsia="宋体" w:cs="Times New Roman"/>
                <w:kern w:val="2"/>
                <w:sz w:val="18"/>
              </w:rPr>
            </w:pPr>
          </w:p>
        </w:tc>
        <w:tc>
          <w:tcPr>
            <w:tcW w:w="937" w:type="dxa"/>
            <w:tcBorders>
              <w:top w:val="single" w:color="auto" w:sz="4" w:space="0"/>
              <w:left w:val="single" w:color="auto" w:sz="4" w:space="0"/>
              <w:bottom w:val="single" w:color="auto" w:sz="12" w:space="0"/>
              <w:right w:val="single" w:color="auto" w:sz="12" w:space="0"/>
            </w:tcBorders>
            <w:vAlign w:val="center"/>
          </w:tcPr>
          <w:p>
            <w:pPr>
              <w:widowControl w:val="0"/>
              <w:spacing w:after="0" w:line="240" w:lineRule="atLeast"/>
              <w:jc w:val="both"/>
              <w:rPr>
                <w:rFonts w:ascii="Calibri" w:hAnsi="Calibri" w:eastAsia="宋体" w:cs="Times New Roman"/>
                <w:kern w:val="2"/>
                <w:sz w:val="18"/>
              </w:rPr>
            </w:pPr>
          </w:p>
        </w:tc>
      </w:tr>
    </w:tbl>
    <w:p>
      <w:pPr>
        <w:widowControl w:val="0"/>
        <w:spacing w:after="0" w:line="240" w:lineRule="auto"/>
        <w:jc w:val="both"/>
        <w:rPr>
          <w:rFonts w:hint="eastAsia" w:ascii="宋体" w:hAnsi="宋体" w:eastAsia="宋体" w:cs="Times New Roman"/>
          <w:kern w:val="2"/>
          <w:sz w:val="18"/>
          <w:lang w:val="en-US" w:eastAsia="zh-CN"/>
        </w:rPr>
      </w:pPr>
      <w:r>
        <w:rPr>
          <w:rFonts w:hint="eastAsia" w:ascii="宋体" w:hAnsi="宋体" w:eastAsia="宋体" w:cs="Times New Roman"/>
          <w:kern w:val="2"/>
          <w:sz w:val="18"/>
        </w:rPr>
        <w:t>日期</w:t>
      </w:r>
      <w:r>
        <w:rPr>
          <w:rFonts w:ascii="宋体" w:hAnsi="宋体" w:eastAsia="宋体" w:cs="Times New Roman"/>
          <w:kern w:val="2"/>
          <w:sz w:val="18"/>
        </w:rPr>
        <w:t>：</w:t>
      </w:r>
      <w:r>
        <w:rPr>
          <w:rFonts w:hint="eastAsia" w:ascii="Calibri" w:hAnsi="Calibri" w:eastAsia="宋体" w:cs="Times New Roman"/>
          <w:kern w:val="2"/>
          <w:sz w:val="18"/>
          <w:lang w:val="en-US" w:eastAsia="zh-CN"/>
        </w:rPr>
        <w:t xml:space="preserve">      </w:t>
      </w:r>
      <w:r>
        <w:rPr>
          <w:rFonts w:hint="eastAsia" w:ascii="宋体" w:hAnsi="宋体" w:eastAsia="宋体" w:cs="Times New Roman"/>
          <w:kern w:val="2"/>
          <w:sz w:val="18"/>
        </w:rPr>
        <w:t>年</w:t>
      </w:r>
      <w:r>
        <w:rPr>
          <w:rFonts w:hint="eastAsia" w:ascii="宋体" w:hAnsi="宋体" w:eastAsia="宋体" w:cs="Times New Roman"/>
          <w:kern w:val="2"/>
          <w:sz w:val="18"/>
          <w:lang w:val="en-US" w:eastAsia="zh-CN"/>
        </w:rPr>
        <w:t xml:space="preserve">   </w:t>
      </w:r>
      <w:r>
        <w:rPr>
          <w:rFonts w:hint="eastAsia" w:ascii="宋体" w:hAnsi="宋体" w:eastAsia="宋体" w:cs="Times New Roman"/>
          <w:kern w:val="2"/>
          <w:sz w:val="18"/>
        </w:rPr>
        <w:t>月</w:t>
      </w:r>
      <w:r>
        <w:rPr>
          <w:rFonts w:hint="eastAsia" w:ascii="宋体" w:hAnsi="宋体" w:eastAsia="宋体" w:cs="Times New Roman"/>
          <w:kern w:val="2"/>
          <w:sz w:val="18"/>
          <w:lang w:val="en-US" w:eastAsia="zh-CN"/>
        </w:rPr>
        <w:t xml:space="preserve">           </w:t>
      </w:r>
    </w:p>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总得分</w:t>
      </w:r>
      <w:r>
        <w:rPr>
          <w:rFonts w:ascii="宋体" w:hAnsi="宋体" w:eastAsia="宋体" w:cs="Times New Roman"/>
          <w:kern w:val="2"/>
          <w:sz w:val="18"/>
        </w:rPr>
        <w:t>：</w:t>
      </w:r>
      <w:r>
        <w:rPr>
          <w:rFonts w:hint="eastAsia" w:ascii="宋体" w:hAnsi="宋体" w:eastAsia="宋体" w:cs="Times New Roman"/>
          <w:kern w:val="2"/>
          <w:sz w:val="18"/>
          <w:lang w:val="en-US" w:eastAsia="zh-CN"/>
        </w:rPr>
        <w:t xml:space="preserve">         </w:t>
      </w:r>
      <w:r>
        <w:rPr>
          <w:rFonts w:hint="eastAsia" w:ascii="宋体" w:hAnsi="宋体" w:eastAsia="宋体" w:cs="Times New Roman"/>
          <w:kern w:val="2"/>
          <w:sz w:val="18"/>
        </w:rPr>
        <w:t>评价人</w:t>
      </w:r>
      <w:r>
        <w:rPr>
          <w:rFonts w:ascii="宋体" w:hAnsi="宋体" w:eastAsia="宋体" w:cs="Times New Roman"/>
          <w:kern w:val="2"/>
          <w:sz w:val="18"/>
        </w:rPr>
        <w:t>签名：</w:t>
      </w:r>
    </w:p>
    <w:p>
      <w:pPr>
        <w:widowControl w:val="0"/>
        <w:spacing w:after="0" w:line="240" w:lineRule="auto"/>
        <w:jc w:val="both"/>
        <w:rPr>
          <w:rFonts w:ascii="Calibri" w:hAnsi="Calibri" w:eastAsia="宋体" w:cs="Times New Roman"/>
          <w:kern w:val="2"/>
          <w:sz w:val="18"/>
        </w:rPr>
      </w:pPr>
      <w:r>
        <w:rPr>
          <w:rFonts w:hint="eastAsia" w:ascii="宋体" w:hAnsi="宋体" w:eastAsia="宋体" w:cs="Times New Roman"/>
          <w:kern w:val="2"/>
          <w:sz w:val="18"/>
        </w:rPr>
        <w:t>注：</w:t>
      </w:r>
    </w:p>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1.</w:t>
      </w:r>
      <w:r>
        <w:rPr>
          <w:rFonts w:hint="eastAsia" w:ascii="宋体" w:hAnsi="宋体" w:eastAsia="宋体" w:cs="Times New Roman"/>
          <w:kern w:val="2"/>
          <w:sz w:val="18"/>
        </w:rPr>
        <w:t>本考核采取</w:t>
      </w:r>
      <w:r>
        <w:rPr>
          <w:rFonts w:hint="eastAsia" w:ascii="Calibri" w:hAnsi="Calibri" w:eastAsia="宋体" w:cs="Times New Roman"/>
          <w:kern w:val="2"/>
          <w:sz w:val="18"/>
        </w:rPr>
        <w:t>100</w:t>
      </w:r>
      <w:r>
        <w:rPr>
          <w:rFonts w:hint="eastAsia" w:ascii="宋体" w:hAnsi="宋体" w:eastAsia="宋体" w:cs="Times New Roman"/>
          <w:kern w:val="2"/>
          <w:sz w:val="18"/>
        </w:rPr>
        <w:t>分制，每月由采购人总务科对供应商进行考核，</w:t>
      </w:r>
      <w:r>
        <w:rPr>
          <w:rFonts w:hint="eastAsia" w:ascii="Calibri" w:hAnsi="Calibri" w:eastAsia="宋体" w:cs="Times New Roman"/>
          <w:kern w:val="2"/>
          <w:sz w:val="18"/>
        </w:rPr>
        <w:t>90</w:t>
      </w:r>
      <w:r>
        <w:rPr>
          <w:rFonts w:hint="eastAsia" w:ascii="宋体" w:hAnsi="宋体" w:eastAsia="宋体" w:cs="Times New Roman"/>
          <w:kern w:val="2"/>
          <w:sz w:val="18"/>
        </w:rPr>
        <w:t>分为合格</w:t>
      </w:r>
      <w:r>
        <w:rPr>
          <w:rFonts w:hint="eastAsia" w:ascii="Calibri" w:hAnsi="Calibri" w:eastAsia="宋体" w:cs="Times New Roman"/>
          <w:kern w:val="2"/>
          <w:sz w:val="18"/>
        </w:rPr>
        <w:t>,</w:t>
      </w:r>
      <w:r>
        <w:rPr>
          <w:rFonts w:hint="eastAsia" w:ascii="宋体" w:hAnsi="宋体" w:eastAsia="宋体" w:cs="Times New Roman"/>
          <w:kern w:val="2"/>
          <w:sz w:val="18"/>
        </w:rPr>
        <w:t>每扣减</w:t>
      </w:r>
      <w:r>
        <w:rPr>
          <w:rFonts w:hint="eastAsia" w:ascii="Calibri" w:hAnsi="Calibri" w:eastAsia="宋体" w:cs="Times New Roman"/>
          <w:kern w:val="2"/>
          <w:sz w:val="18"/>
        </w:rPr>
        <w:t>1</w:t>
      </w:r>
      <w:r>
        <w:rPr>
          <w:rFonts w:hint="eastAsia" w:ascii="宋体" w:hAnsi="宋体" w:eastAsia="宋体" w:cs="Times New Roman"/>
          <w:kern w:val="2"/>
          <w:sz w:val="18"/>
        </w:rPr>
        <w:t>分在本月服务费中扣减</w:t>
      </w:r>
      <w:r>
        <w:rPr>
          <w:rFonts w:hint="eastAsia" w:ascii="Calibri" w:hAnsi="Calibri" w:eastAsia="宋体" w:cs="Times New Roman"/>
          <w:kern w:val="2"/>
          <w:sz w:val="18"/>
        </w:rPr>
        <w:t>200</w:t>
      </w:r>
      <w:r>
        <w:rPr>
          <w:rFonts w:hint="eastAsia" w:ascii="宋体" w:hAnsi="宋体" w:eastAsia="宋体" w:cs="Times New Roman"/>
          <w:kern w:val="2"/>
          <w:sz w:val="18"/>
        </w:rPr>
        <w:t>元</w:t>
      </w:r>
      <w:r>
        <w:rPr>
          <w:rFonts w:hint="eastAsia" w:ascii="Calibri" w:hAnsi="Calibri" w:eastAsia="宋体" w:cs="Times New Roman"/>
          <w:kern w:val="2"/>
          <w:sz w:val="18"/>
        </w:rPr>
        <w:t>.</w:t>
      </w:r>
    </w:p>
    <w:p>
      <w:pPr>
        <w:widowControl w:val="0"/>
        <w:spacing w:after="0" w:line="240" w:lineRule="auto"/>
        <w:jc w:val="both"/>
        <w:rPr>
          <w:rFonts w:ascii="Calibri" w:hAnsi="Calibri" w:eastAsia="宋体" w:cs="Times New Roman"/>
          <w:kern w:val="2"/>
          <w:sz w:val="18"/>
        </w:rPr>
      </w:pPr>
      <w:r>
        <w:rPr>
          <w:rFonts w:hint="eastAsia" w:ascii="Calibri" w:hAnsi="Calibri" w:eastAsia="宋体" w:cs="Times New Roman"/>
          <w:kern w:val="2"/>
          <w:sz w:val="18"/>
        </w:rPr>
        <w:t>2.</w:t>
      </w:r>
      <w:r>
        <w:rPr>
          <w:rFonts w:hint="eastAsia" w:ascii="宋体" w:hAnsi="宋体" w:eastAsia="宋体" w:cs="Times New Roman"/>
          <w:kern w:val="2"/>
          <w:sz w:val="18"/>
        </w:rPr>
        <w:t>在服务期限，供应商连续三个月考核达不到合格分数</w:t>
      </w:r>
      <w:r>
        <w:rPr>
          <w:rFonts w:hint="eastAsia" w:ascii="Calibri" w:hAnsi="Calibri" w:eastAsia="宋体" w:cs="Times New Roman"/>
          <w:kern w:val="2"/>
          <w:sz w:val="18"/>
        </w:rPr>
        <w:t>90</w:t>
      </w:r>
      <w:r>
        <w:rPr>
          <w:rFonts w:hint="eastAsia" w:ascii="宋体" w:hAnsi="宋体" w:eastAsia="宋体" w:cs="Times New Roman"/>
          <w:kern w:val="2"/>
          <w:sz w:val="18"/>
        </w:rPr>
        <w:t>分，采购人有权单方终止本项目合同，供应商承担本项目合同违约责任。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A9DDD"/>
    <w:multiLevelType w:val="singleLevel"/>
    <w:tmpl w:val="B0AA9DDD"/>
    <w:lvl w:ilvl="0" w:tentative="0">
      <w:start w:val="1"/>
      <w:numFmt w:val="decimal"/>
      <w:lvlText w:val="%1."/>
      <w:lvlJc w:val="left"/>
      <w:pPr>
        <w:ind w:left="425" w:hanging="425"/>
      </w:pPr>
      <w:rPr>
        <w:rFonts w:hint="default"/>
      </w:rPr>
    </w:lvl>
  </w:abstractNum>
  <w:abstractNum w:abstractNumId="1">
    <w:nsid w:val="E315DC32"/>
    <w:multiLevelType w:val="singleLevel"/>
    <w:tmpl w:val="E315DC32"/>
    <w:lvl w:ilvl="0" w:tentative="0">
      <w:start w:val="1"/>
      <w:numFmt w:val="decimal"/>
      <w:lvlText w:val="%1."/>
      <w:lvlJc w:val="left"/>
      <w:pPr>
        <w:ind w:left="425" w:hanging="425"/>
      </w:pPr>
      <w:rPr>
        <w:rFonts w:hint="default"/>
      </w:rPr>
    </w:lvl>
  </w:abstractNum>
  <w:abstractNum w:abstractNumId="2">
    <w:nsid w:val="1B29F071"/>
    <w:multiLevelType w:val="singleLevel"/>
    <w:tmpl w:val="1B29F071"/>
    <w:lvl w:ilvl="0" w:tentative="0">
      <w:start w:val="1"/>
      <w:numFmt w:val="decimal"/>
      <w:lvlText w:val="%1."/>
      <w:lvlJc w:val="left"/>
      <w:pPr>
        <w:ind w:left="425" w:hanging="425"/>
      </w:pPr>
      <w:rPr>
        <w:rFonts w:hint="default"/>
      </w:rPr>
    </w:lvl>
  </w:abstractNum>
  <w:abstractNum w:abstractNumId="3">
    <w:nsid w:val="1BAE386F"/>
    <w:multiLevelType w:val="singleLevel"/>
    <w:tmpl w:val="1BAE386F"/>
    <w:lvl w:ilvl="0" w:tentative="0">
      <w:start w:val="1"/>
      <w:numFmt w:val="decimal"/>
      <w:lvlText w:val="%1."/>
      <w:lvlJc w:val="left"/>
      <w:pPr>
        <w:ind w:left="425" w:hanging="425"/>
      </w:pPr>
      <w:rPr>
        <w:rFonts w:hint="default"/>
      </w:rPr>
    </w:lvl>
  </w:abstractNum>
  <w:abstractNum w:abstractNumId="4">
    <w:nsid w:val="297B0CA4"/>
    <w:multiLevelType w:val="singleLevel"/>
    <w:tmpl w:val="297B0CA4"/>
    <w:lvl w:ilvl="0" w:tentative="0">
      <w:start w:val="1"/>
      <w:numFmt w:val="decimal"/>
      <w:lvlText w:val="%1."/>
      <w:lvlJc w:val="left"/>
      <w:pPr>
        <w:ind w:left="425" w:hanging="425"/>
      </w:pPr>
      <w:rPr>
        <w:rFonts w:hint="default"/>
      </w:rPr>
    </w:lvl>
  </w:abstractNum>
  <w:abstractNum w:abstractNumId="5">
    <w:nsid w:val="30AAC819"/>
    <w:multiLevelType w:val="singleLevel"/>
    <w:tmpl w:val="30AAC819"/>
    <w:lvl w:ilvl="0" w:tentative="0">
      <w:start w:val="1"/>
      <w:numFmt w:val="chineseCounting"/>
      <w:suff w:val="nothing"/>
      <w:lvlText w:val="%1、"/>
      <w:lvlJc w:val="left"/>
      <w:pPr>
        <w:ind w:left="-420" w:firstLine="420"/>
      </w:pPr>
      <w:rPr>
        <w:rFonts w:hint="eastAsia"/>
      </w:rPr>
    </w:lvl>
  </w:abstractNum>
  <w:abstractNum w:abstractNumId="6">
    <w:nsid w:val="4E868CD6"/>
    <w:multiLevelType w:val="singleLevel"/>
    <w:tmpl w:val="4E868CD6"/>
    <w:lvl w:ilvl="0" w:tentative="0">
      <w:start w:val="1"/>
      <w:numFmt w:val="decimal"/>
      <w:lvlText w:val="%1."/>
      <w:lvlJc w:val="left"/>
      <w:pPr>
        <w:ind w:left="425" w:hanging="425"/>
      </w:pPr>
      <w:rPr>
        <w:rFonts w:hint="default"/>
      </w:rPr>
    </w:lvl>
  </w:abstractNum>
  <w:abstractNum w:abstractNumId="7">
    <w:nsid w:val="58C69953"/>
    <w:multiLevelType w:val="singleLevel"/>
    <w:tmpl w:val="58C69953"/>
    <w:lvl w:ilvl="0" w:tentative="0">
      <w:start w:val="1"/>
      <w:numFmt w:val="decimal"/>
      <w:lvlText w:val="%1."/>
      <w:lvlJc w:val="left"/>
      <w:pPr>
        <w:ind w:left="425" w:hanging="425"/>
      </w:pPr>
      <w:rPr>
        <w:rFonts w:hint="default"/>
      </w:rPr>
    </w:lvl>
  </w:abstractNum>
  <w:abstractNum w:abstractNumId="8">
    <w:nsid w:val="61885FD2"/>
    <w:multiLevelType w:val="singleLevel"/>
    <w:tmpl w:val="61885FD2"/>
    <w:lvl w:ilvl="0" w:tentative="0">
      <w:start w:val="1"/>
      <w:numFmt w:val="decimal"/>
      <w:lvlText w:val="%1."/>
      <w:lvlJc w:val="left"/>
      <w:pPr>
        <w:ind w:left="425" w:hanging="425"/>
      </w:pPr>
      <w:rPr>
        <w:rFonts w:hint="default"/>
      </w:rPr>
    </w:lvl>
  </w:abstractNum>
  <w:abstractNum w:abstractNumId="9">
    <w:nsid w:val="62627FC0"/>
    <w:multiLevelType w:val="singleLevel"/>
    <w:tmpl w:val="62627FC0"/>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1"/>
  </w:num>
  <w:num w:numId="4">
    <w:abstractNumId w:val="7"/>
  </w:num>
  <w:num w:numId="5">
    <w:abstractNumId w:val="3"/>
  </w:num>
  <w:num w:numId="6">
    <w:abstractNumId w:val="6"/>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ZjhlNzA5MTRhM2VkNzE0OGYyYWNiMjJiNzFiZDcifQ=="/>
  </w:docVars>
  <w:rsids>
    <w:rsidRoot w:val="00C66445"/>
    <w:rsid w:val="001C33D6"/>
    <w:rsid w:val="003F4B6C"/>
    <w:rsid w:val="00515D14"/>
    <w:rsid w:val="00814112"/>
    <w:rsid w:val="009510B4"/>
    <w:rsid w:val="00A25F7C"/>
    <w:rsid w:val="00C07429"/>
    <w:rsid w:val="00C66445"/>
    <w:rsid w:val="00D6043C"/>
    <w:rsid w:val="00E636D3"/>
    <w:rsid w:val="00F22B16"/>
    <w:rsid w:val="048D195A"/>
    <w:rsid w:val="051A6F66"/>
    <w:rsid w:val="0C187218"/>
    <w:rsid w:val="10C72C0C"/>
    <w:rsid w:val="10F90377"/>
    <w:rsid w:val="131B6383"/>
    <w:rsid w:val="18C33745"/>
    <w:rsid w:val="1A1533E9"/>
    <w:rsid w:val="1AC27E21"/>
    <w:rsid w:val="22AC524A"/>
    <w:rsid w:val="23A423C5"/>
    <w:rsid w:val="278F0C96"/>
    <w:rsid w:val="28B74948"/>
    <w:rsid w:val="36AC588E"/>
    <w:rsid w:val="3B732951"/>
    <w:rsid w:val="3CF8135F"/>
    <w:rsid w:val="3D167A38"/>
    <w:rsid w:val="3F632CDC"/>
    <w:rsid w:val="3FD82F29"/>
    <w:rsid w:val="40C451C4"/>
    <w:rsid w:val="41197AF6"/>
    <w:rsid w:val="41DE4725"/>
    <w:rsid w:val="41EA1493"/>
    <w:rsid w:val="43EA577A"/>
    <w:rsid w:val="45FB051D"/>
    <w:rsid w:val="4D7C70E3"/>
    <w:rsid w:val="506F14E1"/>
    <w:rsid w:val="51364DA2"/>
    <w:rsid w:val="52E8557B"/>
    <w:rsid w:val="558E2409"/>
    <w:rsid w:val="57B009D1"/>
    <w:rsid w:val="57C06AC6"/>
    <w:rsid w:val="58555460"/>
    <w:rsid w:val="5DFB2606"/>
    <w:rsid w:val="616D381B"/>
    <w:rsid w:val="623E6F65"/>
    <w:rsid w:val="6A3F7D1E"/>
    <w:rsid w:val="6A773014"/>
    <w:rsid w:val="6AEF34F2"/>
    <w:rsid w:val="6D60371F"/>
    <w:rsid w:val="760D2A7F"/>
    <w:rsid w:val="793B3DA7"/>
    <w:rsid w:val="7D29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76"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19"/>
    <w:autoRedefine/>
    <w:qFormat/>
    <w:uiPriority w:val="9"/>
    <w:pPr>
      <w:keepNext/>
      <w:keepLines/>
      <w:pBdr>
        <w:bottom w:val="single" w:color="C0504D"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14:textFill>
        <w14:solidFill>
          <w14:schemeClr w14:val="tx1">
            <w14:lumMod w14:val="85000"/>
            <w14:lumOff w14:val="15000"/>
          </w14:schemeClr>
        </w14:solidFill>
      </w14:textFill>
    </w:rPr>
  </w:style>
  <w:style w:type="paragraph" w:styleId="3">
    <w:name w:val="heading 2"/>
    <w:basedOn w:val="1"/>
    <w:next w:val="1"/>
    <w:link w:val="20"/>
    <w:autoRedefine/>
    <w:semiHidden/>
    <w:unhideWhenUsed/>
    <w:qFormat/>
    <w:uiPriority w:val="9"/>
    <w:pPr>
      <w:keepNext/>
      <w:keepLines/>
      <w:spacing w:before="120" w:after="0" w:line="240" w:lineRule="auto"/>
      <w:outlineLvl w:val="1"/>
    </w:pPr>
    <w:rPr>
      <w:rFonts w:asciiTheme="majorHAnsi" w:hAnsiTheme="majorHAnsi" w:eastAsiaTheme="majorEastAsia" w:cstheme="majorBidi"/>
      <w:color w:val="C0504D" w:themeColor="accent2"/>
      <w:sz w:val="36"/>
      <w:szCs w:val="36"/>
      <w14:textFill>
        <w14:solidFill>
          <w14:schemeClr w14:val="accent2"/>
        </w14:solidFill>
      </w14:textFill>
    </w:rPr>
  </w:style>
  <w:style w:type="paragraph" w:styleId="4">
    <w:name w:val="heading 3"/>
    <w:basedOn w:val="1"/>
    <w:next w:val="1"/>
    <w:link w:val="21"/>
    <w:autoRedefine/>
    <w:semiHidden/>
    <w:unhideWhenUsed/>
    <w:qFormat/>
    <w:uiPriority w:val="9"/>
    <w:pPr>
      <w:keepNext/>
      <w:keepLines/>
      <w:spacing w:before="80" w:after="0" w:line="240" w:lineRule="auto"/>
      <w:outlineLvl w:val="2"/>
    </w:pPr>
    <w:rPr>
      <w:rFonts w:asciiTheme="majorHAnsi" w:hAnsiTheme="majorHAnsi" w:eastAsiaTheme="majorEastAsia" w:cstheme="majorBidi"/>
      <w:color w:val="953735" w:themeColor="accent2" w:themeShade="BF"/>
      <w:sz w:val="32"/>
      <w:szCs w:val="32"/>
    </w:rPr>
  </w:style>
  <w:style w:type="paragraph" w:styleId="5">
    <w:name w:val="heading 4"/>
    <w:basedOn w:val="1"/>
    <w:next w:val="1"/>
    <w:link w:val="22"/>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color w:val="632523" w:themeColor="accent2" w:themeShade="80"/>
      <w:sz w:val="28"/>
      <w:szCs w:val="28"/>
    </w:rPr>
  </w:style>
  <w:style w:type="paragraph" w:styleId="6">
    <w:name w:val="heading 5"/>
    <w:basedOn w:val="1"/>
    <w:next w:val="1"/>
    <w:link w:val="23"/>
    <w:autoRedefine/>
    <w:semiHidden/>
    <w:unhideWhenUsed/>
    <w:qFormat/>
    <w:uiPriority w:val="9"/>
    <w:pPr>
      <w:keepNext/>
      <w:keepLines/>
      <w:spacing w:before="80" w:after="0" w:line="240" w:lineRule="auto"/>
      <w:outlineLvl w:val="4"/>
    </w:pPr>
    <w:rPr>
      <w:rFonts w:asciiTheme="majorHAnsi" w:hAnsiTheme="majorHAnsi" w:eastAsiaTheme="majorEastAsia" w:cstheme="majorBidi"/>
      <w:color w:val="953735" w:themeColor="accent2" w:themeShade="BF"/>
      <w:sz w:val="24"/>
      <w:szCs w:val="24"/>
    </w:rPr>
  </w:style>
  <w:style w:type="paragraph" w:styleId="7">
    <w:name w:val="heading 6"/>
    <w:basedOn w:val="1"/>
    <w:next w:val="1"/>
    <w:link w:val="24"/>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color w:val="632523" w:themeColor="accent2" w:themeShade="80"/>
      <w:sz w:val="24"/>
      <w:szCs w:val="24"/>
    </w:rPr>
  </w:style>
  <w:style w:type="paragraph" w:styleId="8">
    <w:name w:val="heading 7"/>
    <w:basedOn w:val="1"/>
    <w:next w:val="1"/>
    <w:link w:val="25"/>
    <w:autoRedefine/>
    <w:semiHidden/>
    <w:unhideWhenUsed/>
    <w:qFormat/>
    <w:uiPriority w:val="9"/>
    <w:pPr>
      <w:keepNext/>
      <w:keepLines/>
      <w:spacing w:before="80" w:after="0" w:line="240" w:lineRule="auto"/>
      <w:outlineLvl w:val="6"/>
    </w:pPr>
    <w:rPr>
      <w:rFonts w:asciiTheme="majorHAnsi" w:hAnsiTheme="majorHAnsi" w:eastAsiaTheme="majorEastAsia" w:cstheme="majorBidi"/>
      <w:b/>
      <w:bCs/>
      <w:color w:val="632523" w:themeColor="accent2" w:themeShade="80"/>
      <w:sz w:val="22"/>
      <w:szCs w:val="22"/>
    </w:rPr>
  </w:style>
  <w:style w:type="paragraph" w:styleId="9">
    <w:name w:val="heading 8"/>
    <w:basedOn w:val="1"/>
    <w:next w:val="1"/>
    <w:link w:val="26"/>
    <w:autoRedefine/>
    <w:semiHidden/>
    <w:unhideWhenUsed/>
    <w:qFormat/>
    <w:uiPriority w:val="9"/>
    <w:pPr>
      <w:keepNext/>
      <w:keepLines/>
      <w:spacing w:before="80" w:after="0" w:line="240" w:lineRule="auto"/>
      <w:outlineLvl w:val="7"/>
    </w:pPr>
    <w:rPr>
      <w:rFonts w:asciiTheme="majorHAnsi" w:hAnsiTheme="majorHAnsi" w:eastAsiaTheme="majorEastAsia" w:cstheme="majorBidi"/>
      <w:color w:val="632523" w:themeColor="accent2" w:themeShade="80"/>
      <w:sz w:val="22"/>
      <w:szCs w:val="22"/>
    </w:rPr>
  </w:style>
  <w:style w:type="paragraph" w:styleId="10">
    <w:name w:val="heading 9"/>
    <w:basedOn w:val="1"/>
    <w:next w:val="1"/>
    <w:link w:val="27"/>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olor w:val="632523" w:themeColor="accent2" w:themeShade="80"/>
      <w:sz w:val="22"/>
      <w:szCs w:val="22"/>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12">
    <w:name w:val="Subtitle"/>
    <w:basedOn w:val="1"/>
    <w:next w:val="1"/>
    <w:link w:val="29"/>
    <w:autoRedefine/>
    <w:qFormat/>
    <w:uiPriority w:val="11"/>
    <w:pPr>
      <w:spacing w:after="240"/>
    </w:pPr>
    <w:rPr>
      <w:caps/>
      <w:color w:val="404040" w:themeColor="text1" w:themeTint="BF"/>
      <w:spacing w:val="20"/>
      <w:sz w:val="28"/>
      <w:szCs w:val="28"/>
      <w14:textFill>
        <w14:solidFill>
          <w14:schemeClr w14:val="tx1">
            <w14:lumMod w14:val="75000"/>
            <w14:lumOff w14:val="25000"/>
          </w14:schemeClr>
        </w14:solidFill>
      </w14:textFill>
    </w:rPr>
  </w:style>
  <w:style w:type="paragraph" w:styleId="13">
    <w:name w:val="Title"/>
    <w:basedOn w:val="1"/>
    <w:next w:val="1"/>
    <w:link w:val="28"/>
    <w:autoRedefine/>
    <w:qFormat/>
    <w:uiPriority w:val="10"/>
    <w:pPr>
      <w:spacing w:after="0" w:line="240" w:lineRule="auto"/>
      <w:contextualSpacing/>
    </w:pPr>
    <w:rPr>
      <w:rFonts w:asciiTheme="majorHAnsi" w:hAnsiTheme="majorHAnsi" w:eastAsiaTheme="majorEastAsia" w:cstheme="majorBidi"/>
      <w:color w:val="262626" w:themeColor="text1" w:themeTint="D9"/>
      <w:sz w:val="96"/>
      <w:szCs w:val="96"/>
      <w14:textFill>
        <w14:solidFill>
          <w14:schemeClr w14:val="tx1">
            <w14:lumMod w14:val="85000"/>
            <w14:lumOff w14:val="15000"/>
          </w14:schemeClr>
        </w14:solidFill>
      </w14:textFill>
    </w:rPr>
  </w:style>
  <w:style w:type="character" w:styleId="16">
    <w:name w:val="Strong"/>
    <w:basedOn w:val="15"/>
    <w:autoRedefine/>
    <w:qFormat/>
    <w:uiPriority w:val="22"/>
    <w:rPr>
      <w:b/>
      <w:bCs/>
    </w:rPr>
  </w:style>
  <w:style w:type="character" w:styleId="17">
    <w:name w:val="Emphasis"/>
    <w:basedOn w:val="15"/>
    <w:autoRedefine/>
    <w:qFormat/>
    <w:uiPriority w:val="20"/>
    <w:rPr>
      <w:i/>
      <w:iCs/>
      <w:color w:val="000000" w:themeColor="text1"/>
      <w14:textFill>
        <w14:solidFill>
          <w14:schemeClr w14:val="tx1"/>
        </w14:solidFill>
      </w14:textFill>
    </w:rPr>
  </w:style>
  <w:style w:type="table" w:customStyle="1" w:styleId="18">
    <w:name w:val="Table Normal"/>
    <w:basedOn w:val="14"/>
    <w:autoRedefine/>
    <w:qFormat/>
    <w:uiPriority w:val="0"/>
    <w:rPr>
      <w:rFonts w:ascii="Times New Roman" w:hAnsi="Times New Roman" w:eastAsia="Times New Roman" w:cs="Times New Roman"/>
      <w:sz w:val="20"/>
      <w:szCs w:val="20"/>
    </w:rPr>
    <w:tblPr>
      <w:tblCellMar>
        <w:left w:w="0" w:type="dxa"/>
        <w:right w:w="0" w:type="dxa"/>
      </w:tblCellMar>
    </w:tblPr>
  </w:style>
  <w:style w:type="character" w:customStyle="1" w:styleId="19">
    <w:name w:val="标题 1 Char"/>
    <w:basedOn w:val="15"/>
    <w:link w:val="2"/>
    <w:autoRedefine/>
    <w:qFormat/>
    <w:uiPriority w:val="9"/>
    <w:rPr>
      <w:rFonts w:asciiTheme="majorHAnsi" w:hAnsiTheme="majorHAnsi" w:eastAsiaTheme="majorEastAsia" w:cstheme="majorBidi"/>
      <w:color w:val="262626" w:themeColor="text1" w:themeTint="D9"/>
      <w:sz w:val="40"/>
      <w:szCs w:val="40"/>
      <w14:textFill>
        <w14:solidFill>
          <w14:schemeClr w14:val="tx1">
            <w14:lumMod w14:val="85000"/>
            <w14:lumOff w14:val="15000"/>
          </w14:schemeClr>
        </w14:solidFill>
      </w14:textFill>
    </w:rPr>
  </w:style>
  <w:style w:type="character" w:customStyle="1" w:styleId="20">
    <w:name w:val="标题 2 Char"/>
    <w:basedOn w:val="15"/>
    <w:link w:val="3"/>
    <w:autoRedefine/>
    <w:semiHidden/>
    <w:qFormat/>
    <w:uiPriority w:val="9"/>
    <w:rPr>
      <w:rFonts w:asciiTheme="majorHAnsi" w:hAnsiTheme="majorHAnsi" w:eastAsiaTheme="majorEastAsia" w:cstheme="majorBidi"/>
      <w:color w:val="C0504D" w:themeColor="accent2"/>
      <w:sz w:val="36"/>
      <w:szCs w:val="36"/>
      <w14:textFill>
        <w14:solidFill>
          <w14:schemeClr w14:val="accent2"/>
        </w14:solidFill>
      </w14:textFill>
    </w:rPr>
  </w:style>
  <w:style w:type="character" w:customStyle="1" w:styleId="21">
    <w:name w:val="标题 3 Char"/>
    <w:basedOn w:val="15"/>
    <w:link w:val="4"/>
    <w:autoRedefine/>
    <w:semiHidden/>
    <w:qFormat/>
    <w:uiPriority w:val="9"/>
    <w:rPr>
      <w:rFonts w:asciiTheme="majorHAnsi" w:hAnsiTheme="majorHAnsi" w:eastAsiaTheme="majorEastAsia" w:cstheme="majorBidi"/>
      <w:color w:val="953735" w:themeColor="accent2" w:themeShade="BF"/>
      <w:sz w:val="32"/>
      <w:szCs w:val="32"/>
    </w:rPr>
  </w:style>
  <w:style w:type="character" w:customStyle="1" w:styleId="22">
    <w:name w:val="标题 4 Char"/>
    <w:basedOn w:val="15"/>
    <w:link w:val="5"/>
    <w:autoRedefine/>
    <w:semiHidden/>
    <w:qFormat/>
    <w:uiPriority w:val="9"/>
    <w:rPr>
      <w:rFonts w:asciiTheme="majorHAnsi" w:hAnsiTheme="majorHAnsi" w:eastAsiaTheme="majorEastAsia" w:cstheme="majorBidi"/>
      <w:i/>
      <w:iCs/>
      <w:color w:val="632523" w:themeColor="accent2" w:themeShade="80"/>
      <w:sz w:val="28"/>
      <w:szCs w:val="28"/>
    </w:rPr>
  </w:style>
  <w:style w:type="character" w:customStyle="1" w:styleId="23">
    <w:name w:val="标题 5 Char"/>
    <w:basedOn w:val="15"/>
    <w:link w:val="6"/>
    <w:autoRedefine/>
    <w:semiHidden/>
    <w:qFormat/>
    <w:uiPriority w:val="9"/>
    <w:rPr>
      <w:rFonts w:asciiTheme="majorHAnsi" w:hAnsiTheme="majorHAnsi" w:eastAsiaTheme="majorEastAsia" w:cstheme="majorBidi"/>
      <w:color w:val="953735" w:themeColor="accent2" w:themeShade="BF"/>
      <w:sz w:val="24"/>
      <w:szCs w:val="24"/>
    </w:rPr>
  </w:style>
  <w:style w:type="character" w:customStyle="1" w:styleId="24">
    <w:name w:val="标题 6 Char"/>
    <w:basedOn w:val="15"/>
    <w:link w:val="7"/>
    <w:autoRedefine/>
    <w:semiHidden/>
    <w:qFormat/>
    <w:uiPriority w:val="9"/>
    <w:rPr>
      <w:rFonts w:asciiTheme="majorHAnsi" w:hAnsiTheme="majorHAnsi" w:eastAsiaTheme="majorEastAsia" w:cstheme="majorBidi"/>
      <w:i/>
      <w:iCs/>
      <w:color w:val="632523" w:themeColor="accent2" w:themeShade="80"/>
      <w:sz w:val="24"/>
      <w:szCs w:val="24"/>
    </w:rPr>
  </w:style>
  <w:style w:type="character" w:customStyle="1" w:styleId="25">
    <w:name w:val="标题 7 Char"/>
    <w:basedOn w:val="15"/>
    <w:link w:val="8"/>
    <w:autoRedefine/>
    <w:semiHidden/>
    <w:qFormat/>
    <w:uiPriority w:val="9"/>
    <w:rPr>
      <w:rFonts w:asciiTheme="majorHAnsi" w:hAnsiTheme="majorHAnsi" w:eastAsiaTheme="majorEastAsia" w:cstheme="majorBidi"/>
      <w:b/>
      <w:bCs/>
      <w:color w:val="632523" w:themeColor="accent2" w:themeShade="80"/>
      <w:sz w:val="22"/>
      <w:szCs w:val="22"/>
    </w:rPr>
  </w:style>
  <w:style w:type="character" w:customStyle="1" w:styleId="26">
    <w:name w:val="标题 8 Char"/>
    <w:basedOn w:val="15"/>
    <w:link w:val="9"/>
    <w:autoRedefine/>
    <w:semiHidden/>
    <w:qFormat/>
    <w:uiPriority w:val="9"/>
    <w:rPr>
      <w:rFonts w:asciiTheme="majorHAnsi" w:hAnsiTheme="majorHAnsi" w:eastAsiaTheme="majorEastAsia" w:cstheme="majorBidi"/>
      <w:color w:val="632523" w:themeColor="accent2" w:themeShade="80"/>
      <w:sz w:val="22"/>
      <w:szCs w:val="22"/>
    </w:rPr>
  </w:style>
  <w:style w:type="character" w:customStyle="1" w:styleId="27">
    <w:name w:val="标题 9 Char"/>
    <w:basedOn w:val="15"/>
    <w:link w:val="10"/>
    <w:autoRedefine/>
    <w:semiHidden/>
    <w:qFormat/>
    <w:uiPriority w:val="9"/>
    <w:rPr>
      <w:rFonts w:asciiTheme="majorHAnsi" w:hAnsiTheme="majorHAnsi" w:eastAsiaTheme="majorEastAsia" w:cstheme="majorBidi"/>
      <w:i/>
      <w:iCs/>
      <w:color w:val="632523" w:themeColor="accent2" w:themeShade="80"/>
      <w:sz w:val="22"/>
      <w:szCs w:val="22"/>
    </w:rPr>
  </w:style>
  <w:style w:type="character" w:customStyle="1" w:styleId="28">
    <w:name w:val="标题 Char"/>
    <w:basedOn w:val="15"/>
    <w:link w:val="13"/>
    <w:autoRedefine/>
    <w:qFormat/>
    <w:uiPriority w:val="10"/>
    <w:rPr>
      <w:rFonts w:asciiTheme="majorHAnsi" w:hAnsiTheme="majorHAnsi" w:eastAsiaTheme="majorEastAsia" w:cstheme="majorBidi"/>
      <w:color w:val="262626" w:themeColor="text1" w:themeTint="D9"/>
      <w:sz w:val="96"/>
      <w:szCs w:val="96"/>
      <w14:textFill>
        <w14:solidFill>
          <w14:schemeClr w14:val="tx1">
            <w14:lumMod w14:val="85000"/>
            <w14:lumOff w14:val="15000"/>
          </w14:schemeClr>
        </w14:solidFill>
      </w14:textFill>
    </w:rPr>
  </w:style>
  <w:style w:type="character" w:customStyle="1" w:styleId="29">
    <w:name w:val="副标题 Char"/>
    <w:basedOn w:val="15"/>
    <w:link w:val="12"/>
    <w:autoRedefine/>
    <w:qFormat/>
    <w:uiPriority w:val="11"/>
    <w:rPr>
      <w:caps/>
      <w:color w:val="404040" w:themeColor="text1" w:themeTint="BF"/>
      <w:spacing w:val="20"/>
      <w:sz w:val="28"/>
      <w:szCs w:val="28"/>
      <w14:textFill>
        <w14:solidFill>
          <w14:schemeClr w14:val="tx1">
            <w14:lumMod w14:val="75000"/>
            <w14:lumOff w14:val="25000"/>
          </w14:schemeClr>
        </w14:solidFill>
      </w14:textFill>
    </w:rPr>
  </w:style>
  <w:style w:type="paragraph" w:styleId="30">
    <w:name w:val="No Spacing"/>
    <w:autoRedefine/>
    <w:qFormat/>
    <w:uiPriority w:val="1"/>
    <w:pPr>
      <w:spacing w:after="0" w:line="240" w:lineRule="auto"/>
    </w:pPr>
    <w:rPr>
      <w:rFonts w:asciiTheme="minorHAnsi" w:hAnsiTheme="minorHAnsi" w:eastAsiaTheme="minorEastAsia" w:cstheme="minorBidi"/>
      <w:sz w:val="21"/>
      <w:szCs w:val="21"/>
      <w:lang w:val="en-US" w:eastAsia="zh-CN" w:bidi="ar-SA"/>
    </w:rPr>
  </w:style>
  <w:style w:type="paragraph" w:styleId="31">
    <w:name w:val="List Paragraph"/>
    <w:basedOn w:val="1"/>
    <w:autoRedefine/>
    <w:qFormat/>
    <w:uiPriority w:val="34"/>
    <w:pPr>
      <w:ind w:firstLine="420" w:firstLineChars="200"/>
    </w:pPr>
  </w:style>
  <w:style w:type="paragraph" w:styleId="32">
    <w:name w:val="Quote"/>
    <w:basedOn w:val="1"/>
    <w:next w:val="1"/>
    <w:link w:val="33"/>
    <w:autoRedefine/>
    <w:qFormat/>
    <w:uiPriority w:val="29"/>
    <w:pPr>
      <w:spacing w:before="160"/>
      <w:ind w:left="720" w:right="720"/>
      <w:jc w:val="center"/>
    </w:pPr>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33">
    <w:name w:val="引用 Char"/>
    <w:basedOn w:val="15"/>
    <w:link w:val="32"/>
    <w:autoRedefine/>
    <w:qFormat/>
    <w:uiPriority w:val="29"/>
    <w:rPr>
      <w:rFonts w:asciiTheme="majorHAnsi" w:hAnsiTheme="majorHAnsi" w:eastAsiaTheme="majorEastAsia" w:cstheme="majorBidi"/>
      <w:color w:val="000000" w:themeColor="text1"/>
      <w:sz w:val="24"/>
      <w:szCs w:val="24"/>
      <w14:textFill>
        <w14:solidFill>
          <w14:schemeClr w14:val="tx1"/>
        </w14:solidFill>
      </w14:textFill>
    </w:rPr>
  </w:style>
  <w:style w:type="paragraph" w:styleId="34">
    <w:name w:val="Intense Quote"/>
    <w:basedOn w:val="1"/>
    <w:next w:val="1"/>
    <w:link w:val="35"/>
    <w:autoRedefine/>
    <w:qFormat/>
    <w:uiPriority w:val="30"/>
    <w:pPr>
      <w:pBdr>
        <w:top w:val="single" w:color="C0504D"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customStyle="1" w:styleId="35">
    <w:name w:val="明显引用 Char"/>
    <w:basedOn w:val="15"/>
    <w:link w:val="34"/>
    <w:autoRedefine/>
    <w:qFormat/>
    <w:uiPriority w:val="30"/>
    <w:rPr>
      <w:rFonts w:asciiTheme="majorHAnsi" w:hAnsiTheme="majorHAnsi" w:eastAsiaTheme="majorEastAsia" w:cstheme="majorBidi"/>
      <w:sz w:val="24"/>
      <w:szCs w:val="24"/>
    </w:rPr>
  </w:style>
  <w:style w:type="character" w:customStyle="1" w:styleId="36">
    <w:name w:val="Subtle Emphasis"/>
    <w:basedOn w:val="15"/>
    <w:autoRedefine/>
    <w:qFormat/>
    <w:uiPriority w:val="19"/>
    <w:rPr>
      <w:i/>
      <w:iCs/>
      <w:color w:val="595959" w:themeColor="text1" w:themeTint="A6"/>
      <w14:textFill>
        <w14:solidFill>
          <w14:schemeClr w14:val="tx1">
            <w14:lumMod w14:val="65000"/>
            <w14:lumOff w14:val="35000"/>
          </w14:schemeClr>
        </w14:solidFill>
      </w14:textFill>
    </w:rPr>
  </w:style>
  <w:style w:type="character" w:customStyle="1" w:styleId="37">
    <w:name w:val="Intense Emphasis"/>
    <w:basedOn w:val="15"/>
    <w:autoRedefine/>
    <w:qFormat/>
    <w:uiPriority w:val="21"/>
    <w:rPr>
      <w:b/>
      <w:bCs/>
      <w:i/>
      <w:iCs/>
      <w:color w:val="C0504D" w:themeColor="accent2"/>
      <w14:textFill>
        <w14:solidFill>
          <w14:schemeClr w14:val="accent2"/>
        </w14:solidFill>
      </w14:textFill>
    </w:rPr>
  </w:style>
  <w:style w:type="character" w:customStyle="1" w:styleId="38">
    <w:name w:val="Subtle Reference"/>
    <w:basedOn w:val="15"/>
    <w:autoRedefine/>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39">
    <w:name w:val="Intense Reference"/>
    <w:basedOn w:val="15"/>
    <w:autoRedefine/>
    <w:qFormat/>
    <w:uiPriority w:val="32"/>
    <w:rPr>
      <w:b/>
      <w:bCs/>
      <w:smallCaps/>
      <w:color w:val="auto"/>
      <w:spacing w:val="0"/>
      <w:u w:val="single"/>
    </w:rPr>
  </w:style>
  <w:style w:type="character" w:customStyle="1" w:styleId="40">
    <w:name w:val="Book Title"/>
    <w:basedOn w:val="15"/>
    <w:autoRedefine/>
    <w:qFormat/>
    <w:uiPriority w:val="33"/>
    <w:rPr>
      <w:b/>
      <w:bCs/>
      <w:smallCaps/>
      <w:spacing w:val="0"/>
    </w:rPr>
  </w:style>
  <w:style w:type="paragraph" w:customStyle="1" w:styleId="41">
    <w:name w:val="TOC Heading"/>
    <w:basedOn w:val="2"/>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988A-1FF6-437E-8684-29E9982E3D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1118</Words>
  <Characters>6375</Characters>
  <Lines>53</Lines>
  <Paragraphs>14</Paragraphs>
  <TotalTime>2</TotalTime>
  <ScaleCrop>false</ScaleCrop>
  <LinksUpToDate>false</LinksUpToDate>
  <CharactersWithSpaces>7479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2024-04-08T02:13:00Z</dcterms:created>
  <dc:creator>黄健桃</dc:creator>
  <cp:lastModifiedBy>谢梓蕴</cp:lastModifiedBy>
  <dcterms:modified xsi:type="dcterms:W3CDTF">2024-04-17T01:29:33Z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D447BD6A7041425A8B3BEE3303A23891_12</vt:lpwstr>
  </property>
</Properties>
</file>