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79FA5">
      <w:pPr>
        <w:widowControl/>
        <w:jc w:val="center"/>
        <w:rPr>
          <w:rFonts w:cs="宋体" w:asciiTheme="minorEastAsia" w:hAnsiTheme="minorEastAsia"/>
          <w:b/>
          <w:color w:val="auto"/>
          <w:kern w:val="0"/>
          <w:sz w:val="32"/>
          <w:szCs w:val="32"/>
        </w:rPr>
      </w:pPr>
      <w:bookmarkStart w:id="0" w:name="OLE_LINK4"/>
      <w:bookmarkStart w:id="1" w:name="OLE_LINK3"/>
      <w:r>
        <w:rPr>
          <w:rFonts w:hint="eastAsia" w:cs="宋体" w:asciiTheme="minorEastAsia" w:hAnsiTheme="minorEastAsia"/>
          <w:b/>
          <w:color w:val="auto"/>
          <w:kern w:val="0"/>
          <w:sz w:val="32"/>
          <w:szCs w:val="32"/>
        </w:rPr>
        <w:t>广州市番禺区</w:t>
      </w:r>
      <w:r>
        <w:rPr>
          <w:rFonts w:cs="宋体" w:asciiTheme="minorEastAsia" w:hAnsiTheme="minorEastAsia"/>
          <w:b/>
          <w:color w:val="auto"/>
          <w:kern w:val="0"/>
          <w:sz w:val="32"/>
          <w:szCs w:val="32"/>
        </w:rPr>
        <w:t>何贤纪念医院</w:t>
      </w:r>
      <w:r>
        <w:rPr>
          <w:rFonts w:hint="eastAsia" w:cs="宋体" w:asciiTheme="minorEastAsia" w:hAnsiTheme="minorEastAsia"/>
          <w:b/>
          <w:color w:val="auto"/>
          <w:kern w:val="0"/>
          <w:sz w:val="32"/>
          <w:szCs w:val="32"/>
        </w:rPr>
        <w:t>医疗集团</w:t>
      </w:r>
      <w:bookmarkEnd w:id="0"/>
      <w:r>
        <w:rPr>
          <w:rFonts w:hint="eastAsia" w:cs="宋体" w:asciiTheme="minorEastAsia" w:hAnsiTheme="minorEastAsia"/>
          <w:b/>
          <w:color w:val="auto"/>
          <w:kern w:val="0"/>
          <w:sz w:val="32"/>
          <w:szCs w:val="32"/>
        </w:rPr>
        <w:t>2026年度</w:t>
      </w:r>
    </w:p>
    <w:p w14:paraId="04F9FB04">
      <w:pPr>
        <w:widowControl/>
        <w:jc w:val="center"/>
        <w:rPr>
          <w:rFonts w:hint="eastAsia" w:cs="宋体" w:asciiTheme="minorEastAsia" w:hAnsiTheme="minorEastAsia"/>
          <w:b/>
          <w:color w:val="auto"/>
          <w:kern w:val="0"/>
          <w:sz w:val="32"/>
          <w:szCs w:val="32"/>
          <w:lang w:val="en-US" w:eastAsia="zh-CN"/>
        </w:rPr>
      </w:pPr>
      <w:r>
        <w:rPr>
          <w:rFonts w:hint="eastAsia" w:cs="宋体" w:asciiTheme="minorEastAsia" w:hAnsiTheme="minorEastAsia"/>
          <w:b/>
          <w:color w:val="auto"/>
          <w:kern w:val="0"/>
          <w:sz w:val="32"/>
          <w:szCs w:val="32"/>
        </w:rPr>
        <w:t>电力市场化交易服务项目</w:t>
      </w:r>
      <w:bookmarkEnd w:id="1"/>
      <w:r>
        <w:rPr>
          <w:rFonts w:hint="eastAsia" w:cs="宋体" w:asciiTheme="minorEastAsia" w:hAnsiTheme="minorEastAsia"/>
          <w:b/>
          <w:color w:val="auto"/>
          <w:kern w:val="0"/>
          <w:sz w:val="32"/>
          <w:szCs w:val="32"/>
          <w:lang w:val="en-US" w:eastAsia="zh-CN"/>
        </w:rPr>
        <w:t>需求书</w:t>
      </w:r>
    </w:p>
    <w:p w14:paraId="6E8E8ECA">
      <w:pPr>
        <w:widowControl/>
        <w:spacing w:line="315" w:lineRule="atLeast"/>
        <w:jc w:val="left"/>
        <w:rPr>
          <w:rFonts w:ascii="仿宋_GB2312" w:hAnsi="微软雅黑" w:eastAsia="仿宋_GB2312" w:cs="宋体"/>
          <w:color w:val="auto"/>
          <w:kern w:val="0"/>
          <w:sz w:val="29"/>
          <w:szCs w:val="29"/>
        </w:rPr>
      </w:pPr>
      <w:r>
        <w:rPr>
          <w:rFonts w:hint="eastAsia" w:ascii="仿宋_GB2312" w:hAnsi="微软雅黑" w:eastAsia="仿宋_GB2312" w:cs="宋体"/>
          <w:b/>
          <w:bCs/>
          <w:color w:val="auto"/>
          <w:kern w:val="0"/>
          <w:sz w:val="29"/>
          <w:szCs w:val="29"/>
        </w:rPr>
        <w:t>一、项目名称</w:t>
      </w:r>
      <w:r>
        <w:rPr>
          <w:rFonts w:hint="eastAsia" w:ascii="仿宋_GB2312" w:hAnsi="微软雅黑" w:eastAsia="仿宋_GB2312" w:cs="宋体"/>
          <w:color w:val="auto"/>
          <w:kern w:val="0"/>
          <w:sz w:val="29"/>
          <w:szCs w:val="29"/>
        </w:rPr>
        <w:t>：广州市番禺区何贤纪念医院医疗集团2026度电力市场化交易服务项目</w:t>
      </w:r>
    </w:p>
    <w:p w14:paraId="746412D0">
      <w:pPr>
        <w:widowControl/>
        <w:spacing w:line="315" w:lineRule="atLeast"/>
        <w:jc w:val="left"/>
        <w:rPr>
          <w:rFonts w:ascii="微软雅黑" w:hAnsi="微软雅黑" w:eastAsia="微软雅黑" w:cs="宋体"/>
          <w:color w:val="auto"/>
          <w:kern w:val="0"/>
          <w:szCs w:val="21"/>
        </w:rPr>
      </w:pPr>
      <w:r>
        <w:rPr>
          <w:rFonts w:hint="eastAsia" w:ascii="仿宋_GB2312" w:hAnsi="微软雅黑" w:eastAsia="仿宋_GB2312" w:cs="宋体"/>
          <w:b/>
          <w:bCs/>
          <w:color w:val="auto"/>
          <w:kern w:val="0"/>
          <w:sz w:val="29"/>
          <w:szCs w:val="29"/>
        </w:rPr>
        <w:t>二、</w:t>
      </w:r>
      <w:r>
        <w:rPr>
          <w:rFonts w:hint="eastAsia" w:ascii="仿宋_GB2312" w:hAnsi="微软雅黑" w:eastAsia="仿宋_GB2312" w:cs="宋体"/>
          <w:b/>
          <w:bCs/>
          <w:color w:val="auto"/>
          <w:kern w:val="0"/>
          <w:sz w:val="29"/>
          <w:szCs w:val="29"/>
          <w:shd w:val="clear" w:color="auto" w:fill="FFFFFF"/>
        </w:rPr>
        <w:t>采购人名称</w:t>
      </w:r>
      <w:r>
        <w:rPr>
          <w:rFonts w:hint="eastAsia" w:ascii="仿宋_GB2312" w:hAnsi="微软雅黑" w:eastAsia="仿宋_GB2312" w:cs="宋体"/>
          <w:color w:val="auto"/>
          <w:kern w:val="0"/>
          <w:sz w:val="29"/>
          <w:szCs w:val="29"/>
          <w:shd w:val="clear" w:color="auto" w:fill="FFFFFF"/>
        </w:rPr>
        <w:t>：广州市番禺区</w:t>
      </w:r>
      <w:r>
        <w:rPr>
          <w:rFonts w:ascii="仿宋_GB2312" w:hAnsi="微软雅黑" w:eastAsia="仿宋_GB2312" w:cs="宋体"/>
          <w:color w:val="auto"/>
          <w:kern w:val="0"/>
          <w:sz w:val="29"/>
          <w:szCs w:val="29"/>
          <w:shd w:val="clear" w:color="auto" w:fill="FFFFFF"/>
        </w:rPr>
        <w:t>何贤纪念医院</w:t>
      </w:r>
    </w:p>
    <w:p w14:paraId="69ECF257">
      <w:pPr>
        <w:widowControl/>
        <w:spacing w:line="315" w:lineRule="atLeast"/>
        <w:ind w:firstLine="555"/>
        <w:jc w:val="left"/>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  联系人：赖先生         联系电话：020-</w:t>
      </w:r>
      <w:r>
        <w:rPr>
          <w:rFonts w:ascii="仿宋_GB2312" w:hAnsi="微软雅黑" w:eastAsia="仿宋_GB2312" w:cs="宋体"/>
          <w:color w:val="auto"/>
          <w:kern w:val="0"/>
          <w:sz w:val="29"/>
          <w:szCs w:val="29"/>
        </w:rPr>
        <w:t>39152663</w:t>
      </w:r>
    </w:p>
    <w:p w14:paraId="05AD5382">
      <w:pPr>
        <w:widowControl/>
        <w:spacing w:line="315" w:lineRule="atLeast"/>
        <w:jc w:val="left"/>
        <w:rPr>
          <w:rFonts w:ascii="微软雅黑" w:hAnsi="微软雅黑" w:eastAsia="微软雅黑" w:cs="宋体"/>
          <w:color w:val="auto"/>
          <w:kern w:val="0"/>
          <w:szCs w:val="21"/>
        </w:rPr>
      </w:pPr>
      <w:r>
        <w:rPr>
          <w:rFonts w:hint="eastAsia" w:ascii="仿宋_GB2312" w:hAnsi="微软雅黑" w:eastAsia="仿宋_GB2312" w:cs="宋体"/>
          <w:b/>
          <w:bCs/>
          <w:color w:val="auto"/>
          <w:kern w:val="0"/>
          <w:sz w:val="29"/>
          <w:szCs w:val="29"/>
        </w:rPr>
        <w:t>三、服务地点：</w:t>
      </w:r>
      <w:r>
        <w:rPr>
          <w:rFonts w:hint="eastAsia" w:ascii="仿宋_GB2312" w:hAnsi="微软雅黑" w:eastAsia="仿宋_GB2312" w:cs="宋体"/>
          <w:color w:val="auto"/>
          <w:kern w:val="0"/>
          <w:sz w:val="29"/>
          <w:szCs w:val="29"/>
        </w:rPr>
        <w:t>广州市番禺区清河东路2号（院本部）；广州市番禺区沙湾街</w:t>
      </w:r>
      <w:r>
        <w:rPr>
          <w:rFonts w:ascii="仿宋_GB2312" w:hAnsi="微软雅黑" w:eastAsia="仿宋_GB2312" w:cs="宋体"/>
          <w:color w:val="auto"/>
          <w:kern w:val="0"/>
          <w:sz w:val="29"/>
          <w:szCs w:val="29"/>
        </w:rPr>
        <w:t>大</w:t>
      </w:r>
      <w:r>
        <w:rPr>
          <w:rFonts w:hint="eastAsia" w:ascii="仿宋_GB2312" w:hAnsi="微软雅黑" w:eastAsia="仿宋_GB2312" w:cs="宋体"/>
          <w:color w:val="auto"/>
          <w:kern w:val="0"/>
          <w:sz w:val="29"/>
          <w:szCs w:val="29"/>
        </w:rPr>
        <w:t>巷</w:t>
      </w:r>
      <w:r>
        <w:rPr>
          <w:rFonts w:ascii="仿宋_GB2312" w:hAnsi="微软雅黑" w:eastAsia="仿宋_GB2312" w:cs="宋体"/>
          <w:color w:val="auto"/>
          <w:kern w:val="0"/>
          <w:sz w:val="29"/>
          <w:szCs w:val="29"/>
        </w:rPr>
        <w:t>涌路</w:t>
      </w:r>
      <w:r>
        <w:rPr>
          <w:rFonts w:hint="eastAsia" w:ascii="仿宋_GB2312" w:hAnsi="微软雅黑" w:eastAsia="仿宋_GB2312" w:cs="宋体"/>
          <w:color w:val="auto"/>
          <w:kern w:val="0"/>
          <w:sz w:val="29"/>
          <w:szCs w:val="29"/>
        </w:rPr>
        <w:t>97号（沙湾院区）。</w:t>
      </w:r>
    </w:p>
    <w:p w14:paraId="74815A00">
      <w:pPr>
        <w:widowControl/>
        <w:spacing w:line="315" w:lineRule="atLeast"/>
        <w:jc w:val="left"/>
        <w:rPr>
          <w:rFonts w:ascii="微软雅黑" w:hAnsi="微软雅黑" w:eastAsia="微软雅黑" w:cs="宋体"/>
          <w:color w:val="auto"/>
          <w:kern w:val="0"/>
          <w:szCs w:val="21"/>
        </w:rPr>
      </w:pPr>
      <w:r>
        <w:rPr>
          <w:rFonts w:hint="eastAsia" w:ascii="仿宋_GB2312" w:hAnsi="微软雅黑" w:eastAsia="仿宋_GB2312" w:cs="宋体"/>
          <w:b/>
          <w:bCs/>
          <w:color w:val="auto"/>
          <w:kern w:val="0"/>
          <w:sz w:val="29"/>
          <w:szCs w:val="29"/>
        </w:rPr>
        <w:t>四、项目概况</w:t>
      </w:r>
    </w:p>
    <w:p w14:paraId="1674F2A0">
      <w:pPr>
        <w:widowControl/>
        <w:spacing w:line="315" w:lineRule="atLeast"/>
        <w:ind w:firstLine="555"/>
        <w:jc w:val="left"/>
        <w:rPr>
          <w:rFonts w:ascii="微软雅黑" w:hAnsi="微软雅黑" w:eastAsia="微软雅黑" w:cs="宋体"/>
          <w:color w:val="auto"/>
          <w:kern w:val="0"/>
          <w:szCs w:val="21"/>
        </w:rPr>
      </w:pPr>
      <w:r>
        <w:rPr>
          <w:rFonts w:hint="eastAsia" w:ascii="仿宋_GB2312" w:hAnsi="微软雅黑" w:eastAsia="仿宋_GB2312" w:cs="宋体"/>
          <w:b/>
          <w:bCs/>
          <w:color w:val="auto"/>
          <w:kern w:val="0"/>
          <w:sz w:val="29"/>
          <w:szCs w:val="29"/>
        </w:rPr>
        <w:t>院本部：</w:t>
      </w:r>
      <w:r>
        <w:rPr>
          <w:rFonts w:hint="eastAsia" w:ascii="仿宋_GB2312" w:hAnsi="微软雅黑" w:eastAsia="仿宋_GB2312" w:cs="宋体"/>
          <w:color w:val="auto"/>
          <w:kern w:val="0"/>
          <w:sz w:val="29"/>
          <w:szCs w:val="29"/>
        </w:rPr>
        <w:t>供电模式为双回路供电，变压器安装总容量为</w:t>
      </w:r>
      <w:r>
        <w:rPr>
          <w:rFonts w:ascii="仿宋_GB2312" w:hAnsi="微软雅黑" w:eastAsia="仿宋_GB2312" w:cs="宋体"/>
          <w:color w:val="auto"/>
          <w:kern w:val="0"/>
          <w:sz w:val="29"/>
          <w:szCs w:val="29"/>
        </w:rPr>
        <w:t>80</w:t>
      </w:r>
      <w:r>
        <w:rPr>
          <w:rFonts w:hint="eastAsia" w:ascii="仿宋_GB2312" w:hAnsi="微软雅黑" w:eastAsia="仿宋_GB2312" w:cs="宋体"/>
          <w:color w:val="auto"/>
          <w:kern w:val="0"/>
          <w:sz w:val="29"/>
          <w:szCs w:val="29"/>
        </w:rPr>
        <w:t>00KVA，共设置</w:t>
      </w:r>
      <w:r>
        <w:rPr>
          <w:rFonts w:ascii="仿宋_GB2312" w:hAnsi="微软雅黑" w:eastAsia="仿宋_GB2312" w:cs="宋体"/>
          <w:color w:val="auto"/>
          <w:kern w:val="0"/>
          <w:sz w:val="29"/>
          <w:szCs w:val="29"/>
        </w:rPr>
        <w:t>4</w:t>
      </w:r>
      <w:r>
        <w:rPr>
          <w:rFonts w:hint="eastAsia" w:ascii="仿宋_GB2312" w:hAnsi="微软雅黑" w:eastAsia="仿宋_GB2312" w:cs="宋体"/>
          <w:color w:val="auto"/>
          <w:kern w:val="0"/>
          <w:sz w:val="29"/>
          <w:szCs w:val="29"/>
        </w:rPr>
        <w:t>台变压器，2024年全年用电量为</w:t>
      </w:r>
      <w:r>
        <w:rPr>
          <w:rFonts w:ascii="仿宋_GB2312" w:hAnsi="微软雅黑" w:eastAsia="仿宋_GB2312" w:cs="宋体"/>
          <w:color w:val="auto"/>
          <w:kern w:val="0"/>
          <w:sz w:val="29"/>
          <w:szCs w:val="29"/>
        </w:rPr>
        <w:t>11405640</w:t>
      </w:r>
      <w:r>
        <w:rPr>
          <w:rFonts w:hint="eastAsia" w:ascii="仿宋_GB2312" w:hAnsi="微软雅黑" w:eastAsia="仿宋_GB2312" w:cs="宋体"/>
          <w:color w:val="auto"/>
          <w:kern w:val="0"/>
          <w:sz w:val="29"/>
          <w:szCs w:val="29"/>
        </w:rPr>
        <w:t>万千瓦时，2025年</w:t>
      </w:r>
      <w:r>
        <w:rPr>
          <w:rFonts w:ascii="仿宋_GB2312" w:hAnsi="微软雅黑" w:eastAsia="仿宋_GB2312" w:cs="宋体"/>
          <w:color w:val="auto"/>
          <w:kern w:val="0"/>
          <w:sz w:val="29"/>
          <w:szCs w:val="29"/>
        </w:rPr>
        <w:t>前</w:t>
      </w:r>
      <w:r>
        <w:rPr>
          <w:rFonts w:hint="eastAsia" w:ascii="仿宋_GB2312" w:hAnsi="微软雅黑" w:eastAsia="仿宋_GB2312" w:cs="宋体"/>
          <w:color w:val="auto"/>
          <w:kern w:val="0"/>
          <w:sz w:val="29"/>
          <w:szCs w:val="29"/>
        </w:rPr>
        <w:t>11个</w:t>
      </w:r>
      <w:r>
        <w:rPr>
          <w:rFonts w:ascii="仿宋_GB2312" w:hAnsi="微软雅黑" w:eastAsia="仿宋_GB2312" w:cs="宋体"/>
          <w:color w:val="auto"/>
          <w:kern w:val="0"/>
          <w:sz w:val="29"/>
          <w:szCs w:val="29"/>
        </w:rPr>
        <w:t>月用电量为9822960</w:t>
      </w:r>
      <w:r>
        <w:rPr>
          <w:rFonts w:hint="eastAsia" w:ascii="仿宋_GB2312" w:hAnsi="微软雅黑" w:eastAsia="仿宋_GB2312" w:cs="宋体"/>
          <w:color w:val="auto"/>
          <w:kern w:val="0"/>
          <w:sz w:val="29"/>
          <w:szCs w:val="29"/>
        </w:rPr>
        <w:t>千瓦时。</w:t>
      </w:r>
    </w:p>
    <w:p w14:paraId="3C145AE5">
      <w:pPr>
        <w:widowControl/>
        <w:spacing w:line="315" w:lineRule="atLeast"/>
        <w:ind w:firstLine="555"/>
        <w:jc w:val="left"/>
        <w:rPr>
          <w:rFonts w:ascii="微软雅黑" w:hAnsi="微软雅黑" w:eastAsia="微软雅黑" w:cs="宋体"/>
          <w:color w:val="auto"/>
          <w:kern w:val="0"/>
          <w:szCs w:val="21"/>
        </w:rPr>
      </w:pPr>
      <w:r>
        <w:rPr>
          <w:rFonts w:hint="eastAsia" w:ascii="仿宋_GB2312" w:hAnsi="微软雅黑" w:eastAsia="仿宋_GB2312" w:cs="宋体"/>
          <w:b/>
          <w:bCs/>
          <w:color w:val="auto"/>
          <w:kern w:val="0"/>
          <w:sz w:val="29"/>
          <w:szCs w:val="29"/>
        </w:rPr>
        <w:t>沙湾院区：</w:t>
      </w:r>
      <w:r>
        <w:rPr>
          <w:rFonts w:hint="eastAsia" w:ascii="仿宋_GB2312" w:hAnsi="微软雅黑" w:eastAsia="仿宋_GB2312" w:cs="宋体"/>
          <w:color w:val="auto"/>
          <w:kern w:val="0"/>
          <w:sz w:val="29"/>
          <w:szCs w:val="29"/>
        </w:rPr>
        <w:t>供电模式为双回路供电，变压器安装总容量为</w:t>
      </w:r>
      <w:r>
        <w:rPr>
          <w:rFonts w:ascii="仿宋_GB2312" w:hAnsi="微软雅黑" w:eastAsia="仿宋_GB2312" w:cs="宋体"/>
          <w:color w:val="auto"/>
          <w:kern w:val="0"/>
          <w:sz w:val="29"/>
          <w:szCs w:val="29"/>
        </w:rPr>
        <w:t>2890</w:t>
      </w:r>
      <w:r>
        <w:rPr>
          <w:rFonts w:hint="eastAsia" w:ascii="仿宋_GB2312" w:hAnsi="微软雅黑" w:eastAsia="仿宋_GB2312" w:cs="宋体"/>
          <w:color w:val="auto"/>
          <w:kern w:val="0"/>
          <w:sz w:val="29"/>
          <w:szCs w:val="29"/>
        </w:rPr>
        <w:t>KVA,共设置</w:t>
      </w:r>
      <w:r>
        <w:rPr>
          <w:rFonts w:ascii="仿宋_GB2312" w:hAnsi="微软雅黑" w:eastAsia="仿宋_GB2312" w:cs="宋体"/>
          <w:color w:val="auto"/>
          <w:kern w:val="0"/>
          <w:sz w:val="29"/>
          <w:szCs w:val="29"/>
        </w:rPr>
        <w:t>4</w:t>
      </w:r>
      <w:r>
        <w:rPr>
          <w:rFonts w:hint="eastAsia" w:ascii="仿宋_GB2312" w:hAnsi="微软雅黑" w:eastAsia="仿宋_GB2312" w:cs="宋体"/>
          <w:color w:val="auto"/>
          <w:kern w:val="0"/>
          <w:sz w:val="29"/>
          <w:szCs w:val="29"/>
        </w:rPr>
        <w:t>台变压器，2024年全年用电量为</w:t>
      </w:r>
      <w:r>
        <w:rPr>
          <w:rFonts w:ascii="仿宋_GB2312" w:hAnsi="微软雅黑" w:eastAsia="仿宋_GB2312" w:cs="宋体"/>
          <w:color w:val="auto"/>
          <w:kern w:val="0"/>
          <w:sz w:val="29"/>
          <w:szCs w:val="29"/>
        </w:rPr>
        <w:t>3947849</w:t>
      </w:r>
      <w:r>
        <w:rPr>
          <w:rFonts w:hint="eastAsia" w:ascii="仿宋_GB2312" w:hAnsi="微软雅黑" w:eastAsia="仿宋_GB2312" w:cs="宋体"/>
          <w:color w:val="auto"/>
          <w:kern w:val="0"/>
          <w:sz w:val="29"/>
          <w:szCs w:val="29"/>
        </w:rPr>
        <w:t>千瓦时，2025年</w:t>
      </w:r>
      <w:r>
        <w:rPr>
          <w:rFonts w:ascii="仿宋_GB2312" w:hAnsi="微软雅黑" w:eastAsia="仿宋_GB2312" w:cs="宋体"/>
          <w:color w:val="auto"/>
          <w:kern w:val="0"/>
          <w:sz w:val="29"/>
          <w:szCs w:val="29"/>
        </w:rPr>
        <w:t>前</w:t>
      </w:r>
      <w:r>
        <w:rPr>
          <w:rFonts w:hint="eastAsia" w:ascii="仿宋_GB2312" w:hAnsi="微软雅黑" w:eastAsia="仿宋_GB2312" w:cs="宋体"/>
          <w:color w:val="auto"/>
          <w:kern w:val="0"/>
          <w:sz w:val="29"/>
          <w:szCs w:val="29"/>
        </w:rPr>
        <w:t>11个</w:t>
      </w:r>
      <w:r>
        <w:rPr>
          <w:rFonts w:ascii="仿宋_GB2312" w:hAnsi="微软雅黑" w:eastAsia="仿宋_GB2312" w:cs="宋体"/>
          <w:color w:val="auto"/>
          <w:kern w:val="0"/>
          <w:sz w:val="29"/>
          <w:szCs w:val="29"/>
        </w:rPr>
        <w:t>月用电量3683040</w:t>
      </w:r>
      <w:r>
        <w:rPr>
          <w:rFonts w:hint="eastAsia" w:ascii="仿宋_GB2312" w:hAnsi="微软雅黑" w:eastAsia="仿宋_GB2312" w:cs="宋体"/>
          <w:color w:val="auto"/>
          <w:kern w:val="0"/>
          <w:sz w:val="29"/>
          <w:szCs w:val="29"/>
        </w:rPr>
        <w:t>千瓦时</w:t>
      </w:r>
      <w:r>
        <w:rPr>
          <w:rFonts w:ascii="仿宋_GB2312" w:hAnsi="微软雅黑" w:eastAsia="仿宋_GB2312" w:cs="宋体"/>
          <w:color w:val="auto"/>
          <w:kern w:val="0"/>
          <w:sz w:val="29"/>
          <w:szCs w:val="29"/>
        </w:rPr>
        <w:t>。</w:t>
      </w:r>
    </w:p>
    <w:p w14:paraId="3B2A5B85">
      <w:pPr>
        <w:widowControl/>
        <w:spacing w:line="315" w:lineRule="atLeast"/>
        <w:ind w:firstLine="555"/>
        <w:jc w:val="left"/>
        <w:rPr>
          <w:rFonts w:hint="eastAsia" w:ascii="仿宋_GB2312" w:hAnsi="微软雅黑" w:eastAsia="仿宋_GB2312" w:cs="宋体"/>
          <w:color w:val="auto"/>
          <w:kern w:val="0"/>
          <w:sz w:val="29"/>
          <w:szCs w:val="29"/>
        </w:rPr>
      </w:pPr>
      <w:r>
        <w:rPr>
          <w:rFonts w:hint="eastAsia" w:ascii="仿宋_GB2312" w:hAnsi="微软雅黑" w:eastAsia="仿宋_GB2312" w:cs="宋体"/>
          <w:color w:val="auto"/>
          <w:kern w:val="0"/>
          <w:sz w:val="29"/>
          <w:szCs w:val="29"/>
        </w:rPr>
        <w:t>为节约医院用电成本，拟委托具备相应资质的售电企业参与广东电力市场交易电量，办理优惠购电业务。</w:t>
      </w:r>
    </w:p>
    <w:p w14:paraId="4C66BA7A">
      <w:pPr>
        <w:widowControl/>
        <w:spacing w:line="315" w:lineRule="atLeast"/>
        <w:jc w:val="left"/>
        <w:rPr>
          <w:rFonts w:hint="eastAsia" w:ascii="仿宋_GB2312" w:hAnsi="微软雅黑" w:eastAsia="仿宋_GB2312" w:cs="宋体"/>
          <w:color w:val="auto"/>
          <w:kern w:val="0"/>
          <w:sz w:val="29"/>
          <w:szCs w:val="29"/>
        </w:rPr>
      </w:pPr>
      <w:r>
        <w:rPr>
          <w:rFonts w:hint="eastAsia" w:ascii="仿宋_GB2312" w:hAnsi="微软雅黑" w:eastAsia="仿宋_GB2312" w:cs="宋体"/>
          <w:b/>
          <w:bCs/>
          <w:color w:val="auto"/>
          <w:kern w:val="0"/>
          <w:sz w:val="29"/>
          <w:szCs w:val="29"/>
        </w:rPr>
        <w:t>五、</w:t>
      </w:r>
      <w:r>
        <w:rPr>
          <w:rFonts w:hint="eastAsia" w:ascii="仿宋_GB2312" w:hAnsi="微软雅黑" w:eastAsia="仿宋_GB2312" w:cs="宋体"/>
          <w:b/>
          <w:bCs/>
          <w:color w:val="auto"/>
          <w:kern w:val="0"/>
          <w:sz w:val="29"/>
          <w:szCs w:val="29"/>
          <w:lang w:val="en-US" w:eastAsia="zh-CN"/>
        </w:rPr>
        <w:t>计划服务期限</w:t>
      </w:r>
      <w:r>
        <w:rPr>
          <w:rFonts w:hint="eastAsia" w:ascii="仿宋_GB2312" w:hAnsi="微软雅黑" w:eastAsia="仿宋_GB2312" w:cs="宋体"/>
          <w:b/>
          <w:bCs/>
          <w:color w:val="auto"/>
          <w:kern w:val="0"/>
          <w:sz w:val="29"/>
          <w:szCs w:val="29"/>
        </w:rPr>
        <w:t>：</w:t>
      </w:r>
      <w:r>
        <w:rPr>
          <w:rFonts w:hint="eastAsia" w:ascii="仿宋_GB2312" w:hAnsi="微软雅黑" w:eastAsia="仿宋_GB2312" w:cs="宋体"/>
          <w:color w:val="auto"/>
          <w:kern w:val="0"/>
          <w:sz w:val="29"/>
          <w:szCs w:val="29"/>
        </w:rPr>
        <w:t>一年，具体起止日期以“自签订合同之日起”或“结算金额达到合同金额”条件先到者为准。</w:t>
      </w:r>
    </w:p>
    <w:p w14:paraId="37E41D37">
      <w:pPr>
        <w:widowControl/>
        <w:spacing w:line="315" w:lineRule="atLeast"/>
        <w:jc w:val="left"/>
        <w:rPr>
          <w:rFonts w:hint="default" w:ascii="微软雅黑" w:hAnsi="微软雅黑" w:eastAsia="微软雅黑" w:cs="宋体"/>
          <w:color w:val="auto"/>
          <w:kern w:val="0"/>
          <w:szCs w:val="21"/>
          <w:lang w:val="en-US"/>
        </w:rPr>
      </w:pPr>
      <w:r>
        <w:rPr>
          <w:rFonts w:hint="eastAsia" w:ascii="仿宋_GB2312" w:hAnsi="微软雅黑" w:eastAsia="仿宋_GB2312" w:cs="宋体"/>
          <w:b/>
          <w:bCs/>
          <w:color w:val="auto"/>
          <w:kern w:val="0"/>
          <w:sz w:val="29"/>
          <w:szCs w:val="29"/>
          <w:lang w:val="en-US" w:eastAsia="zh-CN"/>
        </w:rPr>
        <w:t>六</w:t>
      </w:r>
      <w:r>
        <w:rPr>
          <w:rFonts w:hint="eastAsia" w:ascii="仿宋_GB2312" w:hAnsi="微软雅黑" w:eastAsia="仿宋_GB2312" w:cs="宋体"/>
          <w:b/>
          <w:bCs/>
          <w:color w:val="auto"/>
          <w:kern w:val="0"/>
          <w:sz w:val="29"/>
          <w:szCs w:val="29"/>
        </w:rPr>
        <w:t>、</w:t>
      </w:r>
      <w:r>
        <w:rPr>
          <w:rFonts w:hint="eastAsia" w:ascii="仿宋_GB2312" w:hAnsi="微软雅黑" w:eastAsia="仿宋_GB2312" w:cs="宋体"/>
          <w:b/>
          <w:bCs/>
          <w:color w:val="auto"/>
          <w:kern w:val="0"/>
          <w:sz w:val="29"/>
          <w:szCs w:val="29"/>
          <w:lang w:val="en-US" w:eastAsia="zh-CN"/>
        </w:rPr>
        <w:t>企业要求</w:t>
      </w:r>
    </w:p>
    <w:p w14:paraId="690E871A">
      <w:pPr>
        <w:widowControl/>
        <w:spacing w:line="315" w:lineRule="atLeast"/>
        <w:jc w:val="left"/>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（一）本项目不接受联合体投标</w:t>
      </w:r>
    </w:p>
    <w:p w14:paraId="40D6CFE6">
      <w:pPr>
        <w:widowControl/>
        <w:jc w:val="left"/>
        <w:rPr>
          <w:rFonts w:ascii="仿宋_GB2312" w:hAnsi="微软雅黑" w:eastAsia="仿宋_GB2312" w:cs="宋体"/>
          <w:color w:val="auto"/>
          <w:kern w:val="0"/>
          <w:sz w:val="29"/>
          <w:szCs w:val="29"/>
        </w:rPr>
      </w:pPr>
      <w:r>
        <w:rPr>
          <w:rFonts w:hint="eastAsia" w:ascii="仿宋_GB2312" w:hAnsi="微软雅黑" w:eastAsia="仿宋_GB2312" w:cs="宋体"/>
          <w:color w:val="auto"/>
          <w:kern w:val="0"/>
          <w:sz w:val="29"/>
          <w:szCs w:val="29"/>
        </w:rPr>
        <w:t>（二）调查企业类型：不限，大型企业、中型企业、小型企业、微型企业均可。</w:t>
      </w:r>
    </w:p>
    <w:p w14:paraId="63029AE9">
      <w:pPr>
        <w:widowControl/>
        <w:jc w:val="left"/>
        <w:rPr>
          <w:rFonts w:ascii="仿宋_GB2312" w:hAnsi="微软雅黑" w:eastAsia="仿宋_GB2312" w:cs="宋体"/>
          <w:color w:val="auto"/>
          <w:kern w:val="0"/>
          <w:sz w:val="29"/>
          <w:szCs w:val="29"/>
        </w:rPr>
      </w:pPr>
      <w:r>
        <w:rPr>
          <w:rFonts w:hint="eastAsia" w:ascii="仿宋_GB2312" w:hAnsi="微软雅黑" w:eastAsia="仿宋_GB2312" w:cs="宋体"/>
          <w:b/>
          <w:bCs/>
          <w:color w:val="auto"/>
          <w:kern w:val="0"/>
          <w:sz w:val="29"/>
          <w:szCs w:val="29"/>
        </w:rPr>
        <w:t>六、</w:t>
      </w:r>
      <w:r>
        <w:rPr>
          <w:rFonts w:ascii="Times New Roman" w:hAnsi="Times New Roman" w:eastAsia="仿宋_GB2312" w:cs="Times New Roman"/>
          <w:b/>
          <w:bCs/>
          <w:color w:val="auto"/>
          <w:kern w:val="0"/>
          <w:sz w:val="14"/>
          <w:szCs w:val="14"/>
        </w:rPr>
        <w:t>      </w:t>
      </w:r>
      <w:r>
        <w:rPr>
          <w:rFonts w:hint="eastAsia" w:ascii="仿宋_GB2312" w:hAnsi="微软雅黑" w:eastAsia="仿宋_GB2312" w:cs="宋体"/>
          <w:b/>
          <w:bCs/>
          <w:color w:val="auto"/>
          <w:kern w:val="0"/>
          <w:sz w:val="29"/>
          <w:szCs w:val="29"/>
          <w:shd w:val="clear" w:color="auto" w:fill="FFFFFF"/>
        </w:rPr>
        <w:t>参加调研提交资料</w:t>
      </w:r>
    </w:p>
    <w:p w14:paraId="1567F42C">
      <w:pPr>
        <w:widowControl/>
        <w:spacing w:line="315" w:lineRule="atLeast"/>
        <w:jc w:val="left"/>
        <w:textAlignment w:val="baseline"/>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（一）营业证照；</w:t>
      </w:r>
    </w:p>
    <w:p w14:paraId="288F0BC2">
      <w:pPr>
        <w:widowControl/>
        <w:spacing w:line="315" w:lineRule="atLeast"/>
        <w:jc w:val="left"/>
        <w:textAlignment w:val="baseline"/>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（二）相关资质证书：</w:t>
      </w:r>
    </w:p>
    <w:p w14:paraId="63DA55BC">
      <w:pPr>
        <w:widowControl/>
        <w:spacing w:line="315" w:lineRule="atLeast"/>
        <w:ind w:firstLine="555"/>
        <w:jc w:val="left"/>
        <w:textAlignment w:val="baseline"/>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1.售电许可：持有国家法律规定的有效电力业务许可证（售电类）或符合国家发改委、国家能源局《售电公司管理办法》的准入条件。</w:t>
      </w:r>
    </w:p>
    <w:p w14:paraId="230ADDD2">
      <w:pPr>
        <w:widowControl/>
        <w:spacing w:line="315" w:lineRule="atLeast"/>
        <w:ind w:firstLine="555"/>
        <w:jc w:val="left"/>
        <w:textAlignment w:val="baseline"/>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2.交易中心注册：已在广东省电力交易中心完成市场注册、公示、备案，并具备2026年度有效的交易资格（需提供交易中心官网公示截图、注册编码）。</w:t>
      </w:r>
    </w:p>
    <w:p w14:paraId="106E8891">
      <w:pPr>
        <w:widowControl/>
        <w:spacing w:line="315" w:lineRule="atLeast"/>
        <w:ind w:firstLine="555"/>
        <w:jc w:val="left"/>
        <w:textAlignment w:val="baseline"/>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3.信用等级：在广东省电力交易中心的信用评级需达到A级及以上（需提供证明文件）。</w:t>
      </w:r>
    </w:p>
    <w:p w14:paraId="3F80A6BA">
      <w:pPr>
        <w:widowControl/>
        <w:spacing w:line="315" w:lineRule="atLeast"/>
        <w:jc w:val="left"/>
        <w:textAlignment w:val="baseline"/>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（三）法人资格证明书及法人授权书；</w:t>
      </w:r>
    </w:p>
    <w:p w14:paraId="2D94E40A">
      <w:pPr>
        <w:widowControl/>
        <w:spacing w:line="315" w:lineRule="atLeast"/>
        <w:jc w:val="left"/>
        <w:textAlignment w:val="baseline"/>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（四）提供同类业绩</w:t>
      </w:r>
      <w:r>
        <w:rPr>
          <w:rFonts w:hint="eastAsia" w:ascii="仿宋_GB2312" w:hAnsi="微软雅黑" w:eastAsia="仿宋_GB2312" w:cs="宋体"/>
          <w:color w:val="auto"/>
          <w:kern w:val="0"/>
          <w:sz w:val="29"/>
          <w:szCs w:val="29"/>
          <w:lang w:eastAsia="zh-CN"/>
        </w:rPr>
        <w:t>（</w:t>
      </w:r>
      <w:r>
        <w:rPr>
          <w:rFonts w:hint="eastAsia" w:ascii="仿宋_GB2312" w:hAnsi="微软雅黑" w:eastAsia="仿宋_GB2312" w:cs="宋体"/>
          <w:color w:val="auto"/>
          <w:kern w:val="0"/>
          <w:sz w:val="29"/>
          <w:szCs w:val="29"/>
          <w:lang w:val="en-US" w:eastAsia="zh-CN"/>
        </w:rPr>
        <w:t>医院项目靠前排序）</w:t>
      </w:r>
      <w:r>
        <w:rPr>
          <w:rFonts w:hint="eastAsia" w:ascii="仿宋_GB2312" w:hAnsi="微软雅黑" w:eastAsia="仿宋_GB2312" w:cs="宋体"/>
          <w:color w:val="auto"/>
          <w:kern w:val="0"/>
          <w:sz w:val="29"/>
          <w:szCs w:val="29"/>
        </w:rPr>
        <w:t>；</w:t>
      </w:r>
    </w:p>
    <w:p w14:paraId="2C689D81">
      <w:pPr>
        <w:widowControl/>
        <w:spacing w:line="315" w:lineRule="atLeast"/>
        <w:jc w:val="left"/>
        <w:rPr>
          <w:rFonts w:hint="default" w:ascii="微软雅黑" w:hAnsi="微软雅黑" w:eastAsia="仿宋_GB2312" w:cs="宋体"/>
          <w:color w:val="auto"/>
          <w:kern w:val="0"/>
          <w:szCs w:val="21"/>
          <w:lang w:val="en-US" w:eastAsia="zh-CN"/>
        </w:rPr>
      </w:pPr>
      <w:r>
        <w:rPr>
          <w:rFonts w:hint="eastAsia" w:ascii="仿宋_GB2312" w:hAnsi="微软雅黑" w:eastAsia="仿宋_GB2312" w:cs="宋体"/>
          <w:b/>
          <w:bCs/>
          <w:color w:val="auto"/>
          <w:kern w:val="0"/>
          <w:sz w:val="29"/>
          <w:szCs w:val="29"/>
        </w:rPr>
        <w:t>七、调查</w:t>
      </w:r>
      <w:r>
        <w:rPr>
          <w:rFonts w:hint="eastAsia" w:ascii="仿宋_GB2312" w:hAnsi="微软雅黑" w:eastAsia="仿宋_GB2312" w:cs="宋体"/>
          <w:b/>
          <w:bCs/>
          <w:color w:val="auto"/>
          <w:kern w:val="0"/>
          <w:sz w:val="29"/>
          <w:szCs w:val="29"/>
          <w:lang w:val="en-US" w:eastAsia="zh-CN"/>
        </w:rPr>
        <w:t>响应价格</w:t>
      </w:r>
    </w:p>
    <w:tbl>
      <w:tblPr>
        <w:tblStyle w:val="3"/>
        <w:tblW w:w="8947" w:type="dxa"/>
        <w:tblCellSpacing w:w="0" w:type="dxa"/>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003"/>
        <w:gridCol w:w="3177"/>
        <w:gridCol w:w="1767"/>
      </w:tblGrid>
      <w:tr w14:paraId="40DFDFC4">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400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98B39CC">
            <w:pPr>
              <w:keepNext w:val="0"/>
              <w:keepLines w:val="0"/>
              <w:widowControl/>
              <w:suppressLineNumbers w:val="0"/>
              <w:wordWrap w:val="0"/>
              <w:spacing w:before="0" w:beforeAutospacing="0" w:after="0" w:afterAutospacing="0" w:line="360" w:lineRule="atLeast"/>
              <w:ind w:left="0" w:right="0"/>
              <w:jc w:val="center"/>
              <w:rPr>
                <w:rFonts w:hint="default" w:ascii="微软雅黑" w:hAnsi="微软雅黑" w:eastAsia="微软雅黑" w:cs="宋体"/>
                <w:color w:val="auto"/>
                <w:kern w:val="0"/>
                <w:sz w:val="18"/>
                <w:szCs w:val="18"/>
              </w:rPr>
            </w:pPr>
            <w:r>
              <w:rPr>
                <w:rFonts w:hint="eastAsia" w:ascii="仿宋_GB2312" w:hAnsi="微软雅黑" w:eastAsia="仿宋_GB2312" w:cs="宋体"/>
                <w:color w:val="auto"/>
                <w:kern w:val="0"/>
                <w:sz w:val="29"/>
                <w:szCs w:val="29"/>
              </w:rPr>
              <w:t>公司名称</w:t>
            </w:r>
          </w:p>
        </w:tc>
        <w:tc>
          <w:tcPr>
            <w:tcW w:w="317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62A1F766">
            <w:pPr>
              <w:keepNext w:val="0"/>
              <w:keepLines w:val="0"/>
              <w:widowControl/>
              <w:suppressLineNumbers w:val="0"/>
              <w:wordWrap w:val="0"/>
              <w:spacing w:before="0" w:beforeAutospacing="0" w:after="0" w:afterAutospacing="0" w:line="360" w:lineRule="atLeast"/>
              <w:ind w:left="0" w:right="0"/>
              <w:jc w:val="center"/>
              <w:rPr>
                <w:rFonts w:hint="default" w:ascii="微软雅黑" w:hAnsi="微软雅黑" w:eastAsia="微软雅黑" w:cs="宋体"/>
                <w:color w:val="auto"/>
                <w:kern w:val="0"/>
                <w:sz w:val="18"/>
                <w:szCs w:val="18"/>
              </w:rPr>
            </w:pPr>
            <w:r>
              <w:rPr>
                <w:rFonts w:hint="eastAsia" w:ascii="仿宋_GB2312" w:hAnsi="微软雅黑" w:eastAsia="仿宋_GB2312" w:cs="宋体"/>
                <w:color w:val="auto"/>
                <w:kern w:val="0"/>
                <w:sz w:val="29"/>
                <w:szCs w:val="29"/>
              </w:rPr>
              <w:t>报价</w:t>
            </w:r>
          </w:p>
          <w:p w14:paraId="6BEBC59B">
            <w:pPr>
              <w:keepNext w:val="0"/>
              <w:keepLines w:val="0"/>
              <w:widowControl/>
              <w:suppressLineNumbers w:val="0"/>
              <w:wordWrap w:val="0"/>
              <w:spacing w:before="0" w:beforeAutospacing="0" w:after="0" w:afterAutospacing="0" w:line="360" w:lineRule="atLeast"/>
              <w:ind w:left="0" w:right="0"/>
              <w:jc w:val="center"/>
              <w:rPr>
                <w:rFonts w:hint="default" w:ascii="微软雅黑" w:hAnsi="微软雅黑" w:eastAsia="微软雅黑" w:cs="宋体"/>
                <w:color w:val="auto"/>
                <w:kern w:val="0"/>
                <w:sz w:val="18"/>
                <w:szCs w:val="18"/>
              </w:rPr>
            </w:pPr>
            <w:r>
              <w:rPr>
                <w:rFonts w:hint="eastAsia" w:ascii="仿宋_GB2312" w:hAnsi="微软雅黑" w:eastAsia="仿宋_GB2312" w:cs="宋体"/>
                <w:color w:val="auto"/>
                <w:kern w:val="0"/>
                <w:sz w:val="29"/>
                <w:szCs w:val="29"/>
              </w:rPr>
              <w:t>（元/兆瓦时）</w:t>
            </w:r>
          </w:p>
        </w:tc>
        <w:tc>
          <w:tcPr>
            <w:tcW w:w="176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C9F2077">
            <w:pPr>
              <w:keepNext w:val="0"/>
              <w:keepLines w:val="0"/>
              <w:widowControl/>
              <w:suppressLineNumbers w:val="0"/>
              <w:wordWrap w:val="0"/>
              <w:spacing w:before="0" w:beforeAutospacing="0" w:after="0" w:afterAutospacing="0" w:line="270" w:lineRule="atLeast"/>
              <w:ind w:left="0" w:right="0"/>
              <w:jc w:val="center"/>
              <w:rPr>
                <w:rFonts w:hint="default" w:ascii="微软雅黑" w:hAnsi="微软雅黑" w:eastAsia="微软雅黑" w:cs="宋体"/>
                <w:color w:val="auto"/>
                <w:kern w:val="0"/>
                <w:sz w:val="18"/>
                <w:szCs w:val="18"/>
              </w:rPr>
            </w:pPr>
            <w:r>
              <w:rPr>
                <w:rFonts w:hint="eastAsia" w:ascii="仿宋_GB2312" w:hAnsi="微软雅黑" w:eastAsia="仿宋_GB2312" w:cs="宋体"/>
                <w:color w:val="auto"/>
                <w:kern w:val="0"/>
                <w:sz w:val="29"/>
                <w:szCs w:val="29"/>
              </w:rPr>
              <w:t>备注</w:t>
            </w:r>
          </w:p>
        </w:tc>
      </w:tr>
      <w:tr w14:paraId="0A274E21">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4" w:hRule="atLeast"/>
          <w:tblCellSpacing w:w="0" w:type="dxa"/>
        </w:trPr>
        <w:tc>
          <w:tcPr>
            <w:tcW w:w="4003"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7D8D121D">
            <w:pPr>
              <w:keepNext w:val="0"/>
              <w:keepLines w:val="0"/>
              <w:widowControl/>
              <w:suppressLineNumbers w:val="0"/>
              <w:wordWrap w:val="0"/>
              <w:spacing w:before="0" w:beforeAutospacing="0" w:after="0" w:afterAutospacing="0" w:line="270" w:lineRule="atLeast"/>
              <w:ind w:left="0" w:right="0"/>
              <w:jc w:val="left"/>
              <w:rPr>
                <w:rFonts w:hint="default" w:ascii="微软雅黑" w:hAnsi="微软雅黑" w:eastAsia="微软雅黑" w:cs="宋体"/>
                <w:color w:val="auto"/>
                <w:kern w:val="0"/>
                <w:sz w:val="18"/>
                <w:szCs w:val="18"/>
              </w:rPr>
            </w:pPr>
          </w:p>
        </w:tc>
        <w:tc>
          <w:tcPr>
            <w:tcW w:w="3177" w:type="dxa"/>
            <w:tcBorders>
              <w:top w:val="nil"/>
              <w:left w:val="nil"/>
              <w:bottom w:val="single" w:color="auto" w:sz="6" w:space="0"/>
              <w:right w:val="single" w:color="auto" w:sz="6" w:space="0"/>
            </w:tcBorders>
            <w:tcMar>
              <w:top w:w="0" w:type="dxa"/>
              <w:left w:w="105" w:type="dxa"/>
              <w:bottom w:w="0" w:type="dxa"/>
              <w:right w:w="105" w:type="dxa"/>
            </w:tcMar>
          </w:tcPr>
          <w:p w14:paraId="3539C422">
            <w:pPr>
              <w:keepNext w:val="0"/>
              <w:keepLines w:val="0"/>
              <w:widowControl/>
              <w:suppressLineNumbers w:val="0"/>
              <w:wordWrap w:val="0"/>
              <w:spacing w:before="0" w:beforeAutospacing="0" w:after="0" w:afterAutospacing="0" w:line="270" w:lineRule="atLeast"/>
              <w:ind w:left="0" w:right="0"/>
              <w:jc w:val="left"/>
              <w:rPr>
                <w:rFonts w:hint="default" w:ascii="微软雅黑" w:hAnsi="微软雅黑" w:eastAsia="微软雅黑" w:cs="宋体"/>
                <w:color w:val="auto"/>
                <w:kern w:val="0"/>
                <w:sz w:val="18"/>
                <w:szCs w:val="18"/>
              </w:rPr>
            </w:pPr>
          </w:p>
        </w:tc>
        <w:tc>
          <w:tcPr>
            <w:tcW w:w="1767" w:type="dxa"/>
            <w:tcBorders>
              <w:top w:val="nil"/>
              <w:left w:val="nil"/>
              <w:bottom w:val="single" w:color="auto" w:sz="6" w:space="0"/>
              <w:right w:val="single" w:color="auto" w:sz="6" w:space="0"/>
            </w:tcBorders>
            <w:tcMar>
              <w:top w:w="0" w:type="dxa"/>
              <w:left w:w="105" w:type="dxa"/>
              <w:bottom w:w="0" w:type="dxa"/>
              <w:right w:w="105" w:type="dxa"/>
            </w:tcMar>
          </w:tcPr>
          <w:p w14:paraId="1BF8699C">
            <w:pPr>
              <w:keepNext w:val="0"/>
              <w:keepLines w:val="0"/>
              <w:widowControl/>
              <w:suppressLineNumbers w:val="0"/>
              <w:wordWrap w:val="0"/>
              <w:spacing w:before="0" w:beforeAutospacing="0" w:after="0" w:afterAutospacing="0" w:line="270" w:lineRule="atLeast"/>
              <w:ind w:left="0" w:right="0"/>
              <w:jc w:val="left"/>
              <w:rPr>
                <w:rFonts w:hint="default" w:ascii="微软雅黑" w:hAnsi="微软雅黑" w:eastAsia="微软雅黑" w:cs="宋体"/>
                <w:color w:val="auto"/>
                <w:kern w:val="0"/>
                <w:sz w:val="18"/>
                <w:szCs w:val="18"/>
              </w:rPr>
            </w:pPr>
          </w:p>
        </w:tc>
      </w:tr>
    </w:tbl>
    <w:p w14:paraId="7212DE26">
      <w:pPr>
        <w:widowControl/>
        <w:spacing w:line="315" w:lineRule="atLeast"/>
        <w:ind w:firstLine="555"/>
        <w:jc w:val="left"/>
        <w:rPr>
          <w:rFonts w:hint="eastAsia" w:ascii="微软雅黑" w:hAnsi="微软雅黑" w:eastAsia="仿宋_GB2312" w:cs="宋体"/>
          <w:color w:val="auto"/>
          <w:kern w:val="0"/>
          <w:szCs w:val="21"/>
          <w:highlight w:val="yellow"/>
          <w:lang w:eastAsia="zh-CN"/>
        </w:rPr>
      </w:pPr>
      <w:r>
        <w:rPr>
          <w:rFonts w:hint="eastAsia" w:ascii="仿宋_GB2312" w:hAnsi="微软雅黑" w:eastAsia="仿宋_GB2312" w:cs="宋体"/>
          <w:color w:val="auto"/>
          <w:kern w:val="0"/>
          <w:sz w:val="29"/>
          <w:szCs w:val="29"/>
          <w:highlight w:val="yellow"/>
        </w:rPr>
        <w:t> 本项目要求以固定单价报价，报价应符合广东省能源局、国家能源局南方监管局发布《关于广东电力市场2026年交易关键机制和参数的通知》</w:t>
      </w:r>
      <w:r>
        <w:rPr>
          <w:rFonts w:hint="eastAsia" w:ascii="仿宋_GB2312" w:hAnsi="微软雅黑" w:eastAsia="仿宋_GB2312" w:cs="宋体"/>
          <w:color w:val="auto"/>
          <w:kern w:val="0"/>
          <w:sz w:val="29"/>
          <w:szCs w:val="29"/>
          <w:highlight w:val="yellow"/>
          <w:lang w:eastAsia="zh-CN"/>
        </w:rPr>
        <w:t>（</w:t>
      </w:r>
      <w:r>
        <w:rPr>
          <w:rFonts w:hint="eastAsia" w:ascii="仿宋_GB2312" w:hAnsi="微软雅黑" w:eastAsia="仿宋_GB2312" w:cs="宋体"/>
          <w:color w:val="auto"/>
          <w:kern w:val="0"/>
          <w:sz w:val="29"/>
          <w:szCs w:val="29"/>
          <w:highlight w:val="yellow"/>
        </w:rPr>
        <w:t>广东交易〔2025〕271号</w:t>
      </w:r>
      <w:r>
        <w:rPr>
          <w:rFonts w:hint="eastAsia" w:ascii="仿宋_GB2312" w:hAnsi="微软雅黑" w:eastAsia="仿宋_GB2312" w:cs="宋体"/>
          <w:color w:val="auto"/>
          <w:kern w:val="0"/>
          <w:sz w:val="29"/>
          <w:szCs w:val="29"/>
          <w:highlight w:val="yellow"/>
          <w:lang w:eastAsia="zh-CN"/>
        </w:rPr>
        <w:t>）。</w:t>
      </w:r>
    </w:p>
    <w:p w14:paraId="2FD0DFBB">
      <w:pPr>
        <w:widowControl/>
        <w:spacing w:line="315" w:lineRule="atLeast"/>
        <w:jc w:val="left"/>
        <w:rPr>
          <w:rFonts w:ascii="微软雅黑" w:hAnsi="微软雅黑" w:eastAsia="微软雅黑" w:cs="宋体"/>
          <w:color w:val="auto"/>
          <w:kern w:val="0"/>
          <w:szCs w:val="21"/>
        </w:rPr>
      </w:pPr>
      <w:r>
        <w:rPr>
          <w:rFonts w:hint="eastAsia" w:ascii="仿宋_GB2312" w:hAnsi="微软雅黑" w:eastAsia="仿宋_GB2312" w:cs="宋体"/>
          <w:b/>
          <w:bCs/>
          <w:color w:val="auto"/>
          <w:kern w:val="0"/>
          <w:sz w:val="29"/>
          <w:szCs w:val="29"/>
        </w:rPr>
        <w:t>八、调查资料要求及提交</w:t>
      </w:r>
    </w:p>
    <w:p w14:paraId="05EF66B9">
      <w:pPr>
        <w:widowControl/>
        <w:spacing w:line="315" w:lineRule="atLeast"/>
        <w:ind w:firstLine="555"/>
        <w:jc w:val="left"/>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（一）报名方式：请拟参与本次调研的单位将公司名称、营业执照电子扫描件于</w:t>
      </w:r>
      <w:r>
        <w:rPr>
          <w:rFonts w:ascii="仿宋_GB2312" w:hAnsi="微软雅黑" w:eastAsia="仿宋_GB2312" w:cs="宋体"/>
          <w:color w:val="auto"/>
          <w:kern w:val="0"/>
          <w:sz w:val="29"/>
          <w:szCs w:val="29"/>
        </w:rPr>
        <w:t>12</w:t>
      </w:r>
      <w:r>
        <w:rPr>
          <w:rFonts w:hint="eastAsia" w:ascii="仿宋_GB2312" w:hAnsi="微软雅黑" w:eastAsia="仿宋_GB2312" w:cs="宋体"/>
          <w:color w:val="auto"/>
          <w:kern w:val="0"/>
          <w:sz w:val="29"/>
          <w:szCs w:val="29"/>
        </w:rPr>
        <w:t>月</w:t>
      </w:r>
      <w:r>
        <w:rPr>
          <w:rFonts w:ascii="仿宋_GB2312" w:hAnsi="微软雅黑" w:eastAsia="仿宋_GB2312" w:cs="宋体"/>
          <w:color w:val="auto"/>
          <w:kern w:val="0"/>
          <w:sz w:val="29"/>
          <w:szCs w:val="29"/>
        </w:rPr>
        <w:t>16</w:t>
      </w:r>
      <w:r>
        <w:rPr>
          <w:rFonts w:hint="eastAsia" w:ascii="仿宋_GB2312" w:hAnsi="微软雅黑" w:eastAsia="仿宋_GB2312" w:cs="宋体"/>
          <w:color w:val="auto"/>
          <w:kern w:val="0"/>
          <w:sz w:val="29"/>
          <w:szCs w:val="29"/>
        </w:rPr>
        <w:t>日17:00前发送至hxyyzwk@139.com。邮件名称请以下列格式命名：公司名称+</w:t>
      </w:r>
      <w:r>
        <w:rPr>
          <w:rFonts w:ascii="仿宋_GB2312" w:hAnsi="微软雅黑" w:eastAsia="仿宋_GB2312" w:cs="宋体"/>
          <w:color w:val="auto"/>
          <w:kern w:val="0"/>
          <w:sz w:val="29"/>
          <w:szCs w:val="29"/>
        </w:rPr>
        <w:t>12</w:t>
      </w:r>
      <w:r>
        <w:rPr>
          <w:rFonts w:hint="eastAsia" w:ascii="仿宋_GB2312" w:hAnsi="微软雅黑" w:eastAsia="仿宋_GB2312" w:cs="宋体"/>
          <w:color w:val="auto"/>
          <w:kern w:val="0"/>
          <w:sz w:val="29"/>
          <w:szCs w:val="29"/>
        </w:rPr>
        <w:t>月</w:t>
      </w:r>
      <w:r>
        <w:rPr>
          <w:rFonts w:ascii="仿宋_GB2312" w:hAnsi="微软雅黑" w:eastAsia="仿宋_GB2312" w:cs="宋体"/>
          <w:color w:val="auto"/>
          <w:kern w:val="0"/>
          <w:sz w:val="29"/>
          <w:szCs w:val="29"/>
        </w:rPr>
        <w:t>16</w:t>
      </w:r>
      <w:r>
        <w:rPr>
          <w:rFonts w:hint="eastAsia" w:ascii="仿宋_GB2312" w:hAnsi="微软雅黑" w:eastAsia="仿宋_GB2312" w:cs="宋体"/>
          <w:color w:val="auto"/>
          <w:kern w:val="0"/>
          <w:sz w:val="29"/>
          <w:szCs w:val="29"/>
        </w:rPr>
        <w:t>日（电力市场化交易）。</w:t>
      </w:r>
    </w:p>
    <w:p w14:paraId="661BF1FC">
      <w:pPr>
        <w:widowControl/>
        <w:spacing w:line="315" w:lineRule="atLeast"/>
        <w:ind w:firstLine="555"/>
        <w:jc w:val="left"/>
        <w:rPr>
          <w:rFonts w:ascii="仿宋_GB2312" w:hAnsi="微软雅黑" w:eastAsia="仿宋_GB2312" w:cs="宋体"/>
          <w:color w:val="auto"/>
          <w:kern w:val="0"/>
          <w:sz w:val="29"/>
          <w:szCs w:val="29"/>
        </w:rPr>
      </w:pPr>
      <w:r>
        <w:rPr>
          <w:rFonts w:hint="eastAsia" w:ascii="仿宋_GB2312" w:hAnsi="微软雅黑" w:eastAsia="仿宋_GB2312" w:cs="宋体"/>
          <w:color w:val="auto"/>
          <w:kern w:val="0"/>
          <w:sz w:val="29"/>
          <w:szCs w:val="29"/>
        </w:rPr>
        <w:t>（二）调查资料按第六点参加调研提交资料及报价表（可参考但不限于表一）内容要求提交。</w:t>
      </w:r>
    </w:p>
    <w:p w14:paraId="620A40E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580" w:firstLineChars="200"/>
        <w:jc w:val="left"/>
        <w:textAlignment w:val="auto"/>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1、资料要求：</w:t>
      </w:r>
      <w:r>
        <w:rPr>
          <w:rFonts w:hint="eastAsia" w:ascii="仿宋_GB2312" w:hAnsi="微软雅黑" w:eastAsia="仿宋_GB2312" w:cs="宋体"/>
          <w:color w:val="auto"/>
          <w:kern w:val="0"/>
          <w:sz w:val="29"/>
          <w:szCs w:val="29"/>
          <w:lang w:val="en-US" w:eastAsia="zh-CN"/>
        </w:rPr>
        <w:t>按照附件二《附件二、广州市番禺区何贤纪念医院医疗集团2026年度电力市场化交易服务项目提交资料一览表</w:t>
      </w:r>
      <w:r>
        <w:rPr>
          <w:rFonts w:hint="eastAsia" w:ascii="仿宋_GB2312" w:hAnsi="微软雅黑" w:eastAsia="仿宋_GB2312" w:cs="宋体"/>
          <w:color w:val="auto"/>
          <w:kern w:val="0"/>
          <w:sz w:val="29"/>
          <w:szCs w:val="29"/>
          <w:lang w:val="en-US" w:eastAsia="zh-CN"/>
        </w:rPr>
        <w:t>》，提前于12月19日前发送至邮箱hxyyzwk@139.com，</w:t>
      </w:r>
      <w:r>
        <w:rPr>
          <w:rFonts w:hint="eastAsia" w:ascii="仿宋_GB2312" w:hAnsi="微软雅黑" w:eastAsia="仿宋_GB2312" w:cs="宋体"/>
          <w:b/>
          <w:bCs/>
          <w:color w:val="auto"/>
          <w:kern w:val="0"/>
          <w:sz w:val="29"/>
          <w:szCs w:val="29"/>
          <w:u w:val="single"/>
        </w:rPr>
        <w:t>纸质资料</w:t>
      </w:r>
      <w:r>
        <w:rPr>
          <w:rFonts w:hint="eastAsia" w:ascii="仿宋_GB2312" w:hAnsi="微软雅黑" w:eastAsia="仿宋_GB2312" w:cs="宋体"/>
          <w:b/>
          <w:bCs/>
          <w:color w:val="auto"/>
          <w:kern w:val="0"/>
          <w:sz w:val="29"/>
          <w:szCs w:val="29"/>
          <w:u w:val="single"/>
          <w:lang w:val="en-US" w:eastAsia="zh-CN"/>
        </w:rPr>
        <w:t>装订成册，一式两份。加盖</w:t>
      </w:r>
      <w:r>
        <w:rPr>
          <w:rFonts w:hint="eastAsia" w:ascii="仿宋_GB2312" w:hAnsi="微软雅黑" w:eastAsia="仿宋_GB2312" w:cs="宋体"/>
          <w:b/>
          <w:bCs/>
          <w:color w:val="auto"/>
          <w:kern w:val="0"/>
          <w:sz w:val="29"/>
          <w:szCs w:val="29"/>
          <w:u w:val="single"/>
        </w:rPr>
        <w:t>公章，自带U盘（拷贝完返还）准备好调研</w:t>
      </w:r>
      <w:r>
        <w:rPr>
          <w:rFonts w:ascii="仿宋_GB2312" w:hAnsi="微软雅黑" w:eastAsia="仿宋_GB2312" w:cs="宋体"/>
          <w:b/>
          <w:bCs/>
          <w:color w:val="auto"/>
          <w:kern w:val="0"/>
          <w:sz w:val="29"/>
          <w:szCs w:val="29"/>
          <w:u w:val="single"/>
        </w:rPr>
        <w:t>及</w:t>
      </w:r>
      <w:r>
        <w:rPr>
          <w:rFonts w:hint="eastAsia" w:ascii="仿宋_GB2312" w:hAnsi="微软雅黑" w:eastAsia="仿宋_GB2312" w:cs="宋体"/>
          <w:b/>
          <w:bCs/>
          <w:color w:val="auto"/>
          <w:kern w:val="0"/>
          <w:sz w:val="29"/>
          <w:szCs w:val="29"/>
          <w:u w:val="single"/>
        </w:rPr>
        <w:t>报价资料电子版（均为带</w:t>
      </w:r>
      <w:r>
        <w:rPr>
          <w:rFonts w:ascii="仿宋_GB2312" w:hAnsi="微软雅黑" w:eastAsia="仿宋_GB2312" w:cs="宋体"/>
          <w:b/>
          <w:bCs/>
          <w:color w:val="auto"/>
          <w:kern w:val="0"/>
          <w:sz w:val="29"/>
          <w:szCs w:val="29"/>
          <w:u w:val="single"/>
        </w:rPr>
        <w:t>公章扫描件</w:t>
      </w:r>
      <w:r>
        <w:rPr>
          <w:rFonts w:hint="eastAsia" w:ascii="仿宋_GB2312" w:hAnsi="微软雅黑" w:eastAsia="仿宋_GB2312" w:cs="宋体"/>
          <w:b/>
          <w:bCs/>
          <w:color w:val="auto"/>
          <w:kern w:val="0"/>
          <w:sz w:val="29"/>
          <w:szCs w:val="29"/>
          <w:u w:val="single"/>
        </w:rPr>
        <w:t>）。</w:t>
      </w:r>
    </w:p>
    <w:p w14:paraId="3FB90EB6">
      <w:pPr>
        <w:widowControl/>
        <w:spacing w:line="315" w:lineRule="atLeast"/>
        <w:ind w:firstLine="555"/>
        <w:jc w:val="left"/>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2、</w:t>
      </w:r>
      <w:r>
        <w:rPr>
          <w:rFonts w:hint="eastAsia" w:ascii="仿宋_GB2312" w:hAnsi="微软雅黑" w:eastAsia="仿宋_GB2312" w:cs="宋体"/>
          <w:color w:val="auto"/>
          <w:kern w:val="0"/>
          <w:sz w:val="29"/>
          <w:szCs w:val="29"/>
          <w:lang w:val="en-US" w:eastAsia="zh-CN"/>
        </w:rPr>
        <w:t>现场市场调研会安排</w:t>
      </w:r>
      <w:r>
        <w:rPr>
          <w:rFonts w:hint="eastAsia" w:ascii="仿宋_GB2312" w:hAnsi="微软雅黑" w:eastAsia="仿宋_GB2312" w:cs="宋体"/>
          <w:color w:val="auto"/>
          <w:kern w:val="0"/>
          <w:sz w:val="29"/>
          <w:szCs w:val="29"/>
        </w:rPr>
        <w:t>：2025年</w:t>
      </w:r>
      <w:r>
        <w:rPr>
          <w:rFonts w:ascii="仿宋_GB2312" w:hAnsi="微软雅黑" w:eastAsia="仿宋_GB2312" w:cs="宋体"/>
          <w:color w:val="auto"/>
          <w:kern w:val="0"/>
          <w:sz w:val="29"/>
          <w:szCs w:val="29"/>
        </w:rPr>
        <w:t>12</w:t>
      </w:r>
      <w:r>
        <w:rPr>
          <w:rFonts w:hint="eastAsia" w:ascii="仿宋_GB2312" w:hAnsi="微软雅黑" w:eastAsia="仿宋_GB2312" w:cs="宋体"/>
          <w:color w:val="auto"/>
          <w:kern w:val="0"/>
          <w:sz w:val="29"/>
          <w:szCs w:val="29"/>
        </w:rPr>
        <w:t>月</w:t>
      </w:r>
      <w:r>
        <w:rPr>
          <w:rFonts w:ascii="仿宋_GB2312" w:hAnsi="微软雅黑" w:eastAsia="仿宋_GB2312" w:cs="宋体"/>
          <w:color w:val="auto"/>
          <w:kern w:val="0"/>
          <w:sz w:val="29"/>
          <w:szCs w:val="29"/>
        </w:rPr>
        <w:t>19</w:t>
      </w:r>
      <w:r>
        <w:rPr>
          <w:rFonts w:hint="eastAsia" w:ascii="仿宋_GB2312" w:hAnsi="微软雅黑" w:eastAsia="仿宋_GB2312" w:cs="宋体"/>
          <w:color w:val="auto"/>
          <w:kern w:val="0"/>
          <w:sz w:val="29"/>
          <w:szCs w:val="29"/>
        </w:rPr>
        <w:t>日9：</w:t>
      </w:r>
      <w:r>
        <w:rPr>
          <w:rFonts w:ascii="仿宋_GB2312" w:hAnsi="微软雅黑" w:eastAsia="仿宋_GB2312" w:cs="宋体"/>
          <w:color w:val="auto"/>
          <w:kern w:val="0"/>
          <w:sz w:val="29"/>
          <w:szCs w:val="29"/>
        </w:rPr>
        <w:t>20</w:t>
      </w:r>
      <w:r>
        <w:rPr>
          <w:rFonts w:hint="eastAsia" w:ascii="仿宋_GB2312" w:hAnsi="微软雅黑" w:eastAsia="仿宋_GB2312" w:cs="宋体"/>
          <w:color w:val="auto"/>
          <w:kern w:val="0"/>
          <w:sz w:val="29"/>
          <w:szCs w:val="29"/>
          <w:lang w:eastAsia="zh-CN"/>
        </w:rPr>
        <w:t>，</w:t>
      </w:r>
      <w:r>
        <w:rPr>
          <w:rFonts w:hint="eastAsia" w:ascii="仿宋_GB2312" w:hAnsi="微软雅黑" w:eastAsia="仿宋_GB2312" w:cs="宋体"/>
          <w:color w:val="auto"/>
          <w:kern w:val="0"/>
          <w:sz w:val="29"/>
          <w:szCs w:val="29"/>
          <w:lang w:val="en-US" w:eastAsia="zh-CN"/>
        </w:rPr>
        <w:t>具体地点以采购人邮箱消息为准（请留意邮箱）</w:t>
      </w:r>
      <w:r>
        <w:rPr>
          <w:rFonts w:hint="eastAsia" w:ascii="仿宋_GB2312" w:hAnsi="微软雅黑" w:eastAsia="仿宋_GB2312" w:cs="宋体"/>
          <w:color w:val="auto"/>
          <w:kern w:val="0"/>
          <w:sz w:val="29"/>
          <w:szCs w:val="29"/>
          <w:lang w:eastAsia="zh-CN"/>
        </w:rPr>
        <w:t>，</w:t>
      </w:r>
      <w:r>
        <w:rPr>
          <w:rFonts w:hint="eastAsia" w:ascii="仿宋_GB2312" w:hAnsi="微软雅黑" w:eastAsia="仿宋_GB2312" w:cs="宋体"/>
          <w:color w:val="auto"/>
          <w:kern w:val="0"/>
          <w:sz w:val="29"/>
          <w:szCs w:val="29"/>
        </w:rPr>
        <w:t>预计</w:t>
      </w:r>
      <w:r>
        <w:rPr>
          <w:rFonts w:ascii="仿宋_GB2312" w:hAnsi="微软雅黑" w:eastAsia="仿宋_GB2312" w:cs="宋体"/>
          <w:color w:val="auto"/>
          <w:kern w:val="0"/>
          <w:sz w:val="29"/>
          <w:szCs w:val="29"/>
        </w:rPr>
        <w:t>9</w:t>
      </w:r>
      <w:r>
        <w:rPr>
          <w:rFonts w:hint="eastAsia" w:ascii="仿宋_GB2312" w:hAnsi="微软雅黑" w:eastAsia="仿宋_GB2312" w:cs="宋体"/>
          <w:color w:val="auto"/>
          <w:kern w:val="0"/>
          <w:sz w:val="29"/>
          <w:szCs w:val="29"/>
        </w:rPr>
        <w:t>：30点开始。</w:t>
      </w:r>
    </w:p>
    <w:p w14:paraId="657FFDCD">
      <w:pPr>
        <w:widowControl/>
        <w:spacing w:line="315" w:lineRule="atLeast"/>
        <w:ind w:firstLine="555"/>
        <w:jc w:val="left"/>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逾期提交或资料不齐视作无效。</w:t>
      </w:r>
    </w:p>
    <w:p w14:paraId="6EA91C5E">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color w:val="auto"/>
          <w:kern w:val="0"/>
          <w:sz w:val="29"/>
          <w:szCs w:val="29"/>
        </w:rPr>
      </w:pPr>
      <w:r>
        <w:rPr>
          <w:rFonts w:hint="eastAsia" w:ascii="仿宋_GB2312" w:hAnsi="微软雅黑" w:eastAsia="仿宋_GB2312" w:cs="宋体"/>
          <w:color w:val="auto"/>
          <w:kern w:val="0"/>
          <w:sz w:val="29"/>
          <w:szCs w:val="29"/>
        </w:rPr>
        <w:t>说明：</w:t>
      </w:r>
      <w:bookmarkStart w:id="2" w:name="_GoBack"/>
      <w:r>
        <w:rPr>
          <w:rFonts w:hint="eastAsia" w:ascii="仿宋_GB2312" w:hAnsi="微软雅黑" w:eastAsia="仿宋_GB2312" w:cs="宋体"/>
          <w:color w:val="auto"/>
          <w:kern w:val="0"/>
          <w:sz w:val="29"/>
          <w:szCs w:val="29"/>
        </w:rPr>
        <w:t>本调研公告仅为面向市场广泛征集项目相关技术、服务、价格等项目要素，并非正式采购，不代表任何采购行为。所提交的相关调研资料中如涉及弄虚作假的将被列入我院黑名单。</w:t>
      </w:r>
      <w:bookmarkEnd w:id="2"/>
    </w:p>
    <w:p w14:paraId="553EB23B">
      <w:pPr>
        <w:keepNext w:val="0"/>
        <w:keepLines w:val="0"/>
        <w:pageBreakBefore w:val="0"/>
        <w:widowControl/>
        <w:kinsoku/>
        <w:wordWrap/>
        <w:overflowPunct/>
        <w:topLinePunct w:val="0"/>
        <w:autoSpaceDE/>
        <w:autoSpaceDN/>
        <w:bidi w:val="0"/>
        <w:adjustRightInd/>
        <w:snapToGrid/>
        <w:spacing w:line="315" w:lineRule="atLeast"/>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bCs/>
          <w:color w:val="auto"/>
          <w:kern w:val="0"/>
          <w:sz w:val="29"/>
          <w:szCs w:val="29"/>
          <w:lang w:val="en-US" w:eastAsia="zh-CN"/>
        </w:rPr>
        <w:t>九、交易方案</w:t>
      </w:r>
    </w:p>
    <w:p w14:paraId="7D65311C">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1、交易模式</w:t>
      </w:r>
    </w:p>
    <w:p w14:paraId="4413FF7E">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1.1以“固定价格+联动价格”模式参与交易，固定价格结算电量与市场联动价格结算电量按照采购人实际用电量90%:10%进行分配。</w:t>
      </w:r>
    </w:p>
    <w:p w14:paraId="7220C682">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1.2固定价格部分：以最终中标单价参与交易，报价须满足《关于广东电力市场2026年交易关键机制和参数的通知（广东交易〔2025〕271号）》的要求，采购人将通过招标文件规定的评审方式，选出有利于采购人自身的优惠方案。</w:t>
      </w:r>
    </w:p>
    <w:p w14:paraId="7B6CA08F">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固定价格电费=用户实际用电量×合同约定的固定价格电量比例×合同约定的固定价格。</w:t>
      </w:r>
    </w:p>
    <w:p w14:paraId="29F85F44">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1.3市场联动部分：合同电量2%采用联动月度价格中的月度集中交易综合价+合同电量8%采用联动现货价格（日前市场月度综合价），以广东电力交易中心发布的对应价格</w:t>
      </w:r>
    </w:p>
    <w:p w14:paraId="6B8FA28A">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1.3.1联动月度价格电费=用户实际用电量×合同约定的联动月度价格电量比例×合同约定的联动月度价格</w:t>
      </w:r>
    </w:p>
    <w:p w14:paraId="63A6F3C9">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1.3.2联动现货价格电费=用户实际用电量×合同约定的联动现货价格电量比例×合同约定的联动现货价格</w:t>
      </w:r>
    </w:p>
    <w:p w14:paraId="54A5B484">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市场联动电费=联动月度价格电费+联动现货价格电费。</w:t>
      </w:r>
    </w:p>
    <w:p w14:paraId="06095581">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1.4不选用煤电联动及浮动电费模式。</w:t>
      </w:r>
    </w:p>
    <w:p w14:paraId="5BFE15D4">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1.5交易手续费及用电偏差由中标人承担。</w:t>
      </w:r>
    </w:p>
    <w:p w14:paraId="146152D1">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1.6未详尽之处按《广东电力市场售电公司与电力用户竞价配置模式零售交易合同（2025版）（广东交易〔2025〕274号-附件1）》格式条款和《关于广东电力市场2026年交易关键机制和参数的通知（广东交易〔2025〕271号）》或其他最新文件执行。</w:t>
      </w:r>
    </w:p>
    <w:p w14:paraId="7D05641E">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1.7除中标确定的电能量固定价格外，相关配套的输配电费、政府性基金及附加及各项分摊电费等，该部分费用按电网公司和广东电力交易中心相关政策规定执行。</w:t>
      </w:r>
    </w:p>
    <w:p w14:paraId="3C928FD7">
      <w:pPr>
        <w:keepNext w:val="0"/>
        <w:keepLines w:val="0"/>
        <w:pageBreakBefore w:val="0"/>
        <w:widowControl/>
        <w:kinsoku/>
        <w:wordWrap/>
        <w:overflowPunct/>
        <w:topLinePunct w:val="0"/>
        <w:autoSpaceDE/>
        <w:autoSpaceDN/>
        <w:bidi w:val="0"/>
        <w:adjustRightInd/>
        <w:snapToGrid/>
        <w:spacing w:line="315" w:lineRule="atLeast"/>
        <w:jc w:val="left"/>
        <w:textAlignment w:val="auto"/>
        <w:rPr>
          <w:rFonts w:hint="eastAsia" w:ascii="仿宋_GB2312" w:hAnsi="微软雅黑" w:eastAsia="仿宋_GB2312" w:cs="宋体"/>
          <w:b/>
          <w:bCs/>
          <w:color w:val="auto"/>
          <w:kern w:val="0"/>
          <w:sz w:val="29"/>
          <w:szCs w:val="29"/>
          <w:lang w:val="en-US" w:eastAsia="zh-CN"/>
        </w:rPr>
      </w:pPr>
      <w:r>
        <w:rPr>
          <w:rFonts w:hint="eastAsia" w:ascii="仿宋_GB2312" w:hAnsi="微软雅黑" w:eastAsia="仿宋_GB2312" w:cs="宋体"/>
          <w:b/>
          <w:bCs/>
          <w:color w:val="auto"/>
          <w:kern w:val="0"/>
          <w:sz w:val="29"/>
          <w:szCs w:val="29"/>
          <w:lang w:val="en-US" w:eastAsia="zh-CN"/>
        </w:rPr>
        <w:t>十、服务要求</w:t>
      </w:r>
    </w:p>
    <w:p w14:paraId="386062B1">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1、中标人按国家有关法规、规定和技术规范，提供全周期电力交易服务和用电配套服务。</w:t>
      </w:r>
    </w:p>
    <w:p w14:paraId="22062864">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2、采购人和中标人双方按照签订的线下合同在交易系统中进行申报、确认，广东电力交易中心以双方在交易系统中申报、确认的模式和数据进行结算。</w:t>
      </w:r>
    </w:p>
    <w:p w14:paraId="6973F1CA">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3、参与电力市场化交易，中标人负责每月交易电量申报、交易工作。</w:t>
      </w:r>
    </w:p>
    <w:p w14:paraId="0CB42377">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4、中标人需协助采购人完成电力交易平台注册工作，包括但不限于指导资料准备、协助系统录入、解答注册流程疑问等。在合同期内，中标人需负责电力交易平台日常数据填报工作，采购人提供所需基础资料，中标人应确保数据填报的及时性、准确性和完整性及后期电力交易相关的全周期电力交易服务。</w:t>
      </w:r>
    </w:p>
    <w:p w14:paraId="6B619CD1">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5、中标人负责电量电费分析、电力技术咨询、电力技术服务，重点包括与电网企业的沟通，发行电费准确性、合理性分析，相应发票获取及用电手续办理等业务，每月提供交易电量结算清单，明确交易电量和电价，并如实向采购人提供真实准确的交易相关信息和资料。</w:t>
      </w:r>
    </w:p>
    <w:p w14:paraId="4F147478">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6、电量服务保障，中标人提供的购电服务应不改变采购人原有的用电习惯，供电模式和供电质量保障不变。编写电量服务保障方案，保障采购人用电单价的平稳性及用电量需求，承担平台对采购人作为用电主体的偏差考核风险，严格按照合同内容履约。</w:t>
      </w:r>
    </w:p>
    <w:p w14:paraId="0BBEAE58">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7、用户侧保供电服务，中标人根据采购人的配电设备情况及用电需求，为采购人定制用户侧保供电应急方案。通过对采购人生产现场调研，为采购人建立元件级的设备台账档案，并根据设备台账档案，建立设备智能安全巡视方案。配备配电安全运维专家提供远程咨询服务，提供咨询服务（解答日常巡维知识、解答设备缺陷处理方案及提供设备故障应急处理方案）。</w:t>
      </w:r>
    </w:p>
    <w:p w14:paraId="06457C0B">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8、中标人根据采购人需求，对采购人进行用电效能分析，包括编写《用电能效分析报告》，提供用电能效优化建议，并根据需要提供个性化定制的用电能效优化方案。</w:t>
      </w:r>
    </w:p>
    <w:p w14:paraId="56BDC364">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9、应急响应：接到采购人应急处理请求后，根据实际情况远程指导或迅速组织相关技术力量赶往采购人现场协助解决问题。</w:t>
      </w:r>
    </w:p>
    <w:p w14:paraId="6E41CBC5">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（1）中标人提供7天24小时服务热线，24小时技术支持。针对采购人提出的问题应当在2小时内解决，在线无法解决的应当在6小时内到达现场协助采购人解决。</w:t>
      </w:r>
    </w:p>
    <w:p w14:paraId="5B1F8BE1">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（2）投标人根据以往项目经验，结合采购人单位的实际情况编制应急方案，对各种应急事件有针对性的应急预案和相应应急措施。</w:t>
      </w:r>
    </w:p>
    <w:p w14:paraId="375BC11B">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10、如因政府政策调整导致双方不能履行合同、在确保双方利益不受损害的前提下双方秉持公平、对等的原则协商解除合同。</w:t>
      </w:r>
    </w:p>
    <w:p w14:paraId="3770FC2C">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11、服务所涉及的相关费用均已含在本项目报价中，采购人不再另行支付。</w:t>
      </w:r>
    </w:p>
    <w:p w14:paraId="20E3AD9E">
      <w:pPr>
        <w:keepNext w:val="0"/>
        <w:keepLines w:val="0"/>
        <w:pageBreakBefore w:val="0"/>
        <w:widowControl/>
        <w:kinsoku/>
        <w:wordWrap/>
        <w:overflowPunct/>
        <w:topLinePunct w:val="0"/>
        <w:autoSpaceDE/>
        <w:autoSpaceDN/>
        <w:bidi w:val="0"/>
        <w:adjustRightInd/>
        <w:snapToGrid/>
        <w:spacing w:line="315" w:lineRule="atLeast"/>
        <w:ind w:firstLine="582" w:firstLineChars="200"/>
        <w:jc w:val="left"/>
        <w:textAlignment w:val="auto"/>
        <w:rPr>
          <w:rFonts w:hint="eastAsia" w:ascii="仿宋_GB2312" w:hAnsi="微软雅黑" w:eastAsia="仿宋_GB2312" w:cs="宋体"/>
          <w:b/>
          <w:bCs/>
          <w:color w:val="auto"/>
          <w:kern w:val="0"/>
          <w:sz w:val="29"/>
          <w:szCs w:val="29"/>
          <w:lang w:val="en-US" w:eastAsia="zh-CN"/>
        </w:rPr>
      </w:pPr>
      <w:r>
        <w:rPr>
          <w:rFonts w:hint="eastAsia" w:ascii="仿宋_GB2312" w:hAnsi="微软雅黑" w:eastAsia="仿宋_GB2312" w:cs="宋体"/>
          <w:b/>
          <w:bCs/>
          <w:color w:val="auto"/>
          <w:kern w:val="0"/>
          <w:sz w:val="29"/>
          <w:szCs w:val="29"/>
          <w:lang w:val="en-US" w:eastAsia="zh-CN"/>
        </w:rPr>
        <w:t>十一、人员要求</w:t>
      </w:r>
    </w:p>
    <w:p w14:paraId="2213FB12">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1、为确保项目顺利进行，中标人须组建项目组，项目组成员至少包括1名项目负责人及3名电力专业人员。</w:t>
      </w:r>
    </w:p>
    <w:p w14:paraId="3CC0962E">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2、项目负责人将承担项目整体规划及协调工作，并须持有有效的电力工程相关职称证书（需提供相关证明材料）。</w:t>
      </w:r>
    </w:p>
    <w:p w14:paraId="556BC714">
      <w:pPr>
        <w:keepNext w:val="0"/>
        <w:keepLines w:val="0"/>
        <w:pageBreakBefore w:val="0"/>
        <w:widowControl/>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3、电力专业人员则负责确保项目实施的顺利进行及电力稳定运行，在电力供应发生故障时，必须在0.5小时响应，2小时内处理，以维护电力供应的稳定性，并同样需持有有效的电力工程相关职称证书（需提供相关证明材料）。</w:t>
      </w:r>
    </w:p>
    <w:p w14:paraId="70F00B9F">
      <w:pPr>
        <w:keepNext w:val="0"/>
        <w:keepLines w:val="0"/>
        <w:pageBreakBefore w:val="0"/>
        <w:widowControl/>
        <w:numPr>
          <w:ilvl w:val="0"/>
          <w:numId w:val="0"/>
        </w:numPr>
        <w:kinsoku/>
        <w:wordWrap/>
        <w:overflowPunct/>
        <w:topLinePunct w:val="0"/>
        <w:autoSpaceDE/>
        <w:autoSpaceDN/>
        <w:bidi w:val="0"/>
        <w:adjustRightInd/>
        <w:snapToGrid/>
        <w:spacing w:line="315" w:lineRule="atLeast"/>
        <w:ind w:firstLine="291" w:firstLineChars="100"/>
        <w:jc w:val="left"/>
        <w:textAlignment w:val="auto"/>
        <w:rPr>
          <w:rFonts w:hint="eastAsia" w:ascii="仿宋_GB2312" w:hAnsi="微软雅黑" w:eastAsia="仿宋_GB2312" w:cs="宋体"/>
          <w:b/>
          <w:bCs/>
          <w:color w:val="auto"/>
          <w:kern w:val="0"/>
          <w:sz w:val="29"/>
          <w:szCs w:val="29"/>
          <w:lang w:val="en-US" w:eastAsia="zh-CN"/>
        </w:rPr>
      </w:pPr>
      <w:r>
        <w:rPr>
          <w:rFonts w:hint="eastAsia" w:ascii="仿宋_GB2312" w:hAnsi="微软雅黑" w:eastAsia="仿宋_GB2312" w:cs="宋体"/>
          <w:b/>
          <w:bCs/>
          <w:color w:val="auto"/>
          <w:kern w:val="0"/>
          <w:sz w:val="29"/>
          <w:szCs w:val="29"/>
          <w:lang w:val="en-US" w:eastAsia="zh-CN"/>
        </w:rPr>
        <w:t>十二、服务要求</w:t>
      </w:r>
    </w:p>
    <w:p w14:paraId="52C34312">
      <w:pPr>
        <w:keepNext w:val="0"/>
        <w:keepLines w:val="0"/>
        <w:pageBreakBefore w:val="0"/>
        <w:widowControl/>
        <w:numPr>
          <w:ilvl w:val="0"/>
          <w:numId w:val="0"/>
        </w:numPr>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1、负责每月交易电量申报、交易、结算工作，申报前需与采购人确认当月预计用电量；</w:t>
      </w:r>
    </w:p>
    <w:p w14:paraId="141F355B">
      <w:pPr>
        <w:keepNext w:val="0"/>
        <w:keepLines w:val="0"/>
        <w:pageBreakBefore w:val="0"/>
        <w:widowControl/>
        <w:numPr>
          <w:ilvl w:val="0"/>
          <w:numId w:val="0"/>
        </w:numPr>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2、负责电力交易平台市场注册及后期电力交易相关的全周期电力交易服务，确保采购人正常参与每月交易；</w:t>
      </w:r>
    </w:p>
    <w:p w14:paraId="474446FB">
      <w:pPr>
        <w:keepNext w:val="0"/>
        <w:keepLines w:val="0"/>
        <w:pageBreakBefore w:val="0"/>
        <w:widowControl/>
        <w:numPr>
          <w:ilvl w:val="0"/>
          <w:numId w:val="0"/>
        </w:numPr>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3、负责电量电费分析、电力技术咨询、电力技术服务，重点包括与电网企业的沟通，发行电费准确性、合理性分析，相应发票获取及用电手续办理等业务，每月提供交易电量结算清单，明确交易电量和电价，并如实向采购人提供真实准确的交易相关信息和资料；</w:t>
      </w:r>
    </w:p>
    <w:p w14:paraId="2329A632">
      <w:pPr>
        <w:keepNext w:val="0"/>
        <w:keepLines w:val="0"/>
        <w:pageBreakBefore w:val="0"/>
        <w:widowControl/>
        <w:numPr>
          <w:ilvl w:val="0"/>
          <w:numId w:val="0"/>
        </w:numPr>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4、提供的购电服务应不改变采购人原有的用电习惯，供电模式和供电质量保障不变（尤其保障手术室、ICU、急诊等高可靠性区域供电稳定），所有交易流程全权委托中标人进行，具体工作内容及范围以采购人委托为准。</w:t>
      </w:r>
    </w:p>
    <w:p w14:paraId="00BF39C9">
      <w:pPr>
        <w:keepNext w:val="0"/>
        <w:keepLines w:val="0"/>
        <w:pageBreakBefore w:val="0"/>
        <w:widowControl/>
        <w:numPr>
          <w:ilvl w:val="0"/>
          <w:numId w:val="0"/>
        </w:numPr>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5、用电应急保障服务：中标人应建立针对采购人的用电应急保障机制。当发生停电预警、计划性停电通知或突发用电故障时，中标人应在接到采购人通知后15分钟内响应，并履行以下义务：</w:t>
      </w:r>
    </w:p>
    <w:p w14:paraId="78863752">
      <w:pPr>
        <w:keepNext w:val="0"/>
        <w:keepLines w:val="0"/>
        <w:pageBreakBefore w:val="0"/>
        <w:widowControl/>
        <w:numPr>
          <w:ilvl w:val="0"/>
          <w:numId w:val="0"/>
        </w:numPr>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（1）立即向电网企业了解情况，并在30分钟内将故障原因、预计恢复时间等信息书面告知采购人联系人；</w:t>
      </w:r>
    </w:p>
    <w:p w14:paraId="3F8F725B">
      <w:pPr>
        <w:keepNext w:val="0"/>
        <w:keepLines w:val="0"/>
        <w:pageBreakBefore w:val="0"/>
        <w:widowControl/>
        <w:numPr>
          <w:ilvl w:val="0"/>
          <w:numId w:val="0"/>
        </w:numPr>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（2）积极协调电网企业优先恢复供电，特别是手术室、ICU、急诊等高可靠性区域的电力供应；</w:t>
      </w:r>
    </w:p>
    <w:p w14:paraId="1862B3A0">
      <w:pPr>
        <w:keepNext w:val="0"/>
        <w:keepLines w:val="0"/>
        <w:pageBreakBefore w:val="0"/>
        <w:widowControl/>
        <w:numPr>
          <w:ilvl w:val="0"/>
          <w:numId w:val="0"/>
        </w:numPr>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（3）因电力市场交易或结算原因可能导致采购人用电中断的，中标人应提前48小时书面预警，并采取一切必要措施避免中断发生。</w:t>
      </w:r>
    </w:p>
    <w:p w14:paraId="0E9F6A7D">
      <w:pPr>
        <w:keepNext w:val="0"/>
        <w:keepLines w:val="0"/>
        <w:pageBreakBefore w:val="0"/>
        <w:widowControl/>
        <w:numPr>
          <w:ilvl w:val="0"/>
          <w:numId w:val="0"/>
        </w:numPr>
        <w:kinsoku/>
        <w:wordWrap/>
        <w:overflowPunct/>
        <w:topLinePunct w:val="0"/>
        <w:autoSpaceDE/>
        <w:autoSpaceDN/>
        <w:bidi w:val="0"/>
        <w:adjustRightInd/>
        <w:snapToGrid/>
        <w:spacing w:line="315" w:lineRule="atLeast"/>
        <w:ind w:firstLine="580" w:firstLineChars="200"/>
        <w:jc w:val="left"/>
        <w:textAlignment w:val="auto"/>
        <w:rPr>
          <w:rFonts w:hint="default"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中标人未履行上述应急保障义务的，应承担采购需求中约定的违约责任。</w:t>
      </w:r>
    </w:p>
    <w:p w14:paraId="05EA54D6">
      <w:pPr>
        <w:keepNext w:val="0"/>
        <w:keepLines w:val="0"/>
        <w:pageBreakBefore w:val="0"/>
        <w:widowControl/>
        <w:numPr>
          <w:ilvl w:val="0"/>
          <w:numId w:val="0"/>
        </w:numPr>
        <w:kinsoku/>
        <w:wordWrap/>
        <w:overflowPunct/>
        <w:topLinePunct w:val="0"/>
        <w:autoSpaceDE/>
        <w:autoSpaceDN/>
        <w:bidi w:val="0"/>
        <w:adjustRightInd/>
        <w:snapToGrid/>
        <w:spacing w:line="315" w:lineRule="atLeast"/>
        <w:jc w:val="left"/>
        <w:textAlignment w:val="auto"/>
        <w:rPr>
          <w:rFonts w:hint="eastAsia" w:ascii="仿宋_GB2312" w:hAnsi="微软雅黑" w:eastAsia="仿宋_GB2312" w:cs="宋体"/>
          <w:b/>
          <w:bCs/>
          <w:color w:val="auto"/>
          <w:kern w:val="0"/>
          <w:sz w:val="29"/>
          <w:szCs w:val="29"/>
          <w:lang w:val="en-US" w:eastAsia="zh-CN"/>
        </w:rPr>
      </w:pPr>
      <w:r>
        <w:rPr>
          <w:rFonts w:hint="eastAsia" w:ascii="仿宋_GB2312" w:hAnsi="微软雅黑" w:eastAsia="仿宋_GB2312" w:cs="宋体"/>
          <w:b/>
          <w:bCs/>
          <w:color w:val="auto"/>
          <w:kern w:val="0"/>
          <w:sz w:val="29"/>
          <w:szCs w:val="29"/>
          <w:lang w:val="en-US" w:eastAsia="zh-CN"/>
        </w:rPr>
        <w:t>十三、结算方式</w:t>
      </w:r>
    </w:p>
    <w:p w14:paraId="613B6556">
      <w:pPr>
        <w:keepNext w:val="0"/>
        <w:keepLines w:val="0"/>
        <w:pageBreakBefore w:val="0"/>
        <w:widowControl/>
        <w:numPr>
          <w:ilvl w:val="0"/>
          <w:numId w:val="0"/>
        </w:numPr>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r>
        <w:rPr>
          <w:rFonts w:hint="eastAsia" w:ascii="仿宋_GB2312" w:hAnsi="微软雅黑" w:eastAsia="仿宋_GB2312" w:cs="宋体"/>
          <w:b w:val="0"/>
          <w:bCs w:val="0"/>
          <w:color w:val="auto"/>
          <w:kern w:val="0"/>
          <w:sz w:val="29"/>
          <w:szCs w:val="29"/>
          <w:lang w:val="en-US" w:eastAsia="zh-CN"/>
        </w:rPr>
        <w:t>按照《广东电力现货市场结算实施细则》和《广东电力市场零售结算实施细则》等相关文件及现货运行有关要求进行结算。</w:t>
      </w:r>
    </w:p>
    <w:p w14:paraId="5971FB40">
      <w:pPr>
        <w:keepNext w:val="0"/>
        <w:keepLines w:val="0"/>
        <w:pageBreakBefore w:val="0"/>
        <w:widowControl/>
        <w:numPr>
          <w:ilvl w:val="0"/>
          <w:numId w:val="0"/>
        </w:numPr>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p>
    <w:p w14:paraId="737138D2">
      <w:pPr>
        <w:keepNext w:val="0"/>
        <w:keepLines w:val="0"/>
        <w:pageBreakBefore w:val="0"/>
        <w:widowControl/>
        <w:numPr>
          <w:ilvl w:val="0"/>
          <w:numId w:val="0"/>
        </w:numPr>
        <w:kinsoku/>
        <w:wordWrap/>
        <w:overflowPunct/>
        <w:topLinePunct w:val="0"/>
        <w:autoSpaceDE/>
        <w:autoSpaceDN/>
        <w:bidi w:val="0"/>
        <w:adjustRightInd/>
        <w:snapToGrid/>
        <w:spacing w:line="315" w:lineRule="atLeast"/>
        <w:jc w:val="left"/>
        <w:textAlignment w:val="auto"/>
        <w:rPr>
          <w:rFonts w:hint="eastAsia" w:ascii="仿宋_GB2312" w:hAnsi="微软雅黑" w:eastAsia="仿宋_GB2312" w:cs="宋体"/>
          <w:b/>
          <w:bCs/>
          <w:color w:val="auto"/>
          <w:kern w:val="0"/>
          <w:sz w:val="29"/>
          <w:szCs w:val="29"/>
          <w:lang w:val="en-US" w:eastAsia="zh-CN"/>
        </w:rPr>
      </w:pPr>
      <w:r>
        <w:rPr>
          <w:rFonts w:hint="eastAsia" w:ascii="仿宋_GB2312" w:hAnsi="微软雅黑" w:eastAsia="仿宋_GB2312" w:cs="宋体"/>
          <w:b/>
          <w:bCs/>
          <w:color w:val="auto"/>
          <w:kern w:val="0"/>
          <w:sz w:val="29"/>
          <w:szCs w:val="29"/>
          <w:lang w:val="en-US" w:eastAsia="zh-CN"/>
        </w:rPr>
        <w:t>附件：申请机构提交资料一览表</w:t>
      </w:r>
    </w:p>
    <w:p w14:paraId="3324A6A0">
      <w:pPr>
        <w:keepNext w:val="0"/>
        <w:keepLines w:val="0"/>
        <w:pageBreakBefore w:val="0"/>
        <w:widowControl/>
        <w:numPr>
          <w:ilvl w:val="0"/>
          <w:numId w:val="0"/>
        </w:numPr>
        <w:kinsoku/>
        <w:wordWrap/>
        <w:overflowPunct/>
        <w:topLinePunct w:val="0"/>
        <w:autoSpaceDE/>
        <w:autoSpaceDN/>
        <w:bidi w:val="0"/>
        <w:adjustRightInd/>
        <w:snapToGrid/>
        <w:spacing w:line="315" w:lineRule="atLeast"/>
        <w:ind w:firstLine="580" w:firstLineChars="200"/>
        <w:jc w:val="left"/>
        <w:textAlignment w:val="auto"/>
        <w:rPr>
          <w:rFonts w:hint="eastAsia" w:ascii="仿宋_GB2312" w:hAnsi="微软雅黑" w:eastAsia="仿宋_GB2312" w:cs="宋体"/>
          <w:b w:val="0"/>
          <w:bCs w:val="0"/>
          <w:color w:val="auto"/>
          <w:kern w:val="0"/>
          <w:sz w:val="29"/>
          <w:szCs w:val="29"/>
          <w:lang w:val="en-US" w:eastAsia="zh-CN"/>
        </w:rPr>
      </w:pPr>
    </w:p>
    <w:p w14:paraId="37A95CA4">
      <w:pPr>
        <w:widowControl/>
        <w:spacing w:line="315" w:lineRule="atLeast"/>
        <w:jc w:val="left"/>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shd w:val="clear" w:color="auto" w:fill="FFFFFF"/>
        </w:rPr>
        <w:t> </w:t>
      </w:r>
    </w:p>
    <w:p w14:paraId="582CC7B0">
      <w:pPr>
        <w:widowControl/>
        <w:spacing w:line="315" w:lineRule="atLeast"/>
        <w:jc w:val="right"/>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采购人：</w:t>
      </w:r>
      <w:r>
        <w:rPr>
          <w:rFonts w:hint="eastAsia" w:ascii="仿宋_GB2312" w:hAnsi="微软雅黑" w:eastAsia="仿宋_GB2312" w:cs="宋体"/>
          <w:color w:val="auto"/>
          <w:kern w:val="0"/>
          <w:sz w:val="29"/>
          <w:szCs w:val="29"/>
          <w:shd w:val="clear" w:color="auto" w:fill="FFFFFF"/>
        </w:rPr>
        <w:t>广州市番禺区</w:t>
      </w:r>
      <w:r>
        <w:rPr>
          <w:rFonts w:ascii="仿宋_GB2312" w:hAnsi="微软雅黑" w:eastAsia="仿宋_GB2312" w:cs="宋体"/>
          <w:color w:val="auto"/>
          <w:kern w:val="0"/>
          <w:sz w:val="29"/>
          <w:szCs w:val="29"/>
          <w:shd w:val="clear" w:color="auto" w:fill="FFFFFF"/>
        </w:rPr>
        <w:t>何贤纪念医院</w:t>
      </w:r>
    </w:p>
    <w:p w14:paraId="7DAA4698">
      <w:pPr>
        <w:widowControl/>
        <w:spacing w:line="315" w:lineRule="atLeast"/>
        <w:ind w:right="580" w:firstLine="4495" w:firstLineChars="1550"/>
        <w:rPr>
          <w:rFonts w:ascii="微软雅黑" w:hAnsi="微软雅黑" w:eastAsia="微软雅黑" w:cs="宋体"/>
          <w:color w:val="auto"/>
          <w:kern w:val="0"/>
          <w:szCs w:val="21"/>
        </w:rPr>
      </w:pPr>
      <w:r>
        <w:rPr>
          <w:rFonts w:hint="eastAsia" w:ascii="仿宋_GB2312" w:hAnsi="微软雅黑" w:eastAsia="仿宋_GB2312" w:cs="宋体"/>
          <w:color w:val="auto"/>
          <w:kern w:val="0"/>
          <w:sz w:val="29"/>
          <w:szCs w:val="29"/>
        </w:rPr>
        <w:t>日 期：2025年</w:t>
      </w:r>
      <w:r>
        <w:rPr>
          <w:rFonts w:ascii="仿宋_GB2312" w:hAnsi="微软雅黑" w:eastAsia="仿宋_GB2312" w:cs="宋体"/>
          <w:color w:val="auto"/>
          <w:kern w:val="0"/>
          <w:sz w:val="29"/>
          <w:szCs w:val="29"/>
        </w:rPr>
        <w:t>12</w:t>
      </w:r>
      <w:r>
        <w:rPr>
          <w:rFonts w:hint="eastAsia" w:ascii="仿宋_GB2312" w:hAnsi="微软雅黑" w:eastAsia="仿宋_GB2312" w:cs="宋体"/>
          <w:color w:val="auto"/>
          <w:kern w:val="0"/>
          <w:sz w:val="29"/>
          <w:szCs w:val="29"/>
        </w:rPr>
        <w:t>月12日</w:t>
      </w:r>
    </w:p>
    <w:p w14:paraId="76F198AC">
      <w:pPr>
        <w:rPr>
          <w:color w:val="auto"/>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7B"/>
    <w:rsid w:val="000E6FDA"/>
    <w:rsid w:val="00AE44E0"/>
    <w:rsid w:val="00BD302C"/>
    <w:rsid w:val="00C8017B"/>
    <w:rsid w:val="00C8485D"/>
    <w:rsid w:val="00CC1854"/>
    <w:rsid w:val="00DD69BE"/>
    <w:rsid w:val="12B04714"/>
    <w:rsid w:val="18154FDF"/>
    <w:rsid w:val="213A2640"/>
    <w:rsid w:val="21F4039D"/>
    <w:rsid w:val="2A4B17EC"/>
    <w:rsid w:val="345D2A80"/>
    <w:rsid w:val="44AB315B"/>
    <w:rsid w:val="4DC03CF1"/>
    <w:rsid w:val="4E261534"/>
    <w:rsid w:val="4F974A08"/>
    <w:rsid w:val="52B61649"/>
    <w:rsid w:val="592D20F2"/>
    <w:rsid w:val="5A9D7A8B"/>
    <w:rsid w:val="626F35C2"/>
    <w:rsid w:val="650E70C3"/>
    <w:rsid w:val="66A23F66"/>
    <w:rsid w:val="775D2DFE"/>
    <w:rsid w:val="79F44681"/>
    <w:rsid w:val="7F7D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3638</Words>
  <Characters>3826</Characters>
  <Lines>10</Lines>
  <Paragraphs>2</Paragraphs>
  <TotalTime>4</TotalTime>
  <ScaleCrop>false</ScaleCrop>
  <LinksUpToDate>false</LinksUpToDate>
  <CharactersWithSpaces>3846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2025-12-09T02:22:00Z</dcterms:created>
  <dc:creator>赖子波</dc:creator>
  <cp:lastModifiedBy>谢梓蕴</cp:lastModifiedBy>
  <dcterms:modified xsi:type="dcterms:W3CDTF">2025-12-11T09:29:04Z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eyJoZGlkIjoiNWNlZjhlNzA5MTRhM2VkNzE0OGYyYWNiMjJiNzFiZDciLCJ1c2VySWQiOiIxMjc5MzE3MDQwIn0=</vt:lpwstr>
  </property>
  <property fmtid="{D5CDD505-2E9C-101B-9397-08002B2CF9AE}" pid="3" name="KSOProductBuildVer">
    <vt:lpwstr>2052-12.1.0.24034</vt:lpwstr>
  </property>
  <property fmtid="{D5CDD505-2E9C-101B-9397-08002B2CF9AE}" pid="4" name="ICV">
    <vt:lpwstr>1A4341F2905745A2ABBE11AC87261826_13</vt:lpwstr>
  </property>
</Properties>
</file>