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0E15B">
      <w:pPr>
        <w:pStyle w:val="4"/>
        <w:spacing w:line="360" w:lineRule="auto"/>
        <w:jc w:val="center"/>
        <w:rPr>
          <w:rFonts w:ascii="宋体" w:hAnsi="宋体" w:cs="宋体"/>
          <w:b/>
          <w:bCs/>
          <w:sz w:val="28"/>
          <w:szCs w:val="28"/>
        </w:rPr>
      </w:pPr>
      <w:r>
        <w:rPr>
          <w:rFonts w:hint="eastAsia" w:ascii="宋体" w:hAnsi="宋体" w:cs="宋体"/>
          <w:b/>
          <w:bCs/>
          <w:sz w:val="28"/>
          <w:szCs w:val="28"/>
          <w:lang w:val="en-US" w:eastAsia="zh-CN"/>
        </w:rPr>
        <w:t>番禺区妇幼保健院</w:t>
      </w:r>
      <w:r>
        <w:rPr>
          <w:rFonts w:ascii="宋体" w:hAnsi="宋体" w:cs="宋体"/>
          <w:b/>
          <w:bCs/>
          <w:sz w:val="28"/>
          <w:szCs w:val="28"/>
        </w:rPr>
        <w:t>2026</w:t>
      </w:r>
      <w:r>
        <w:rPr>
          <w:rFonts w:hint="eastAsia" w:ascii="宋体" w:hAnsi="宋体" w:cs="宋体"/>
          <w:b/>
          <w:bCs/>
          <w:sz w:val="28"/>
          <w:szCs w:val="28"/>
          <w:lang w:val="en-US" w:eastAsia="zh-CN"/>
        </w:rPr>
        <w:t>-2028</w:t>
      </w:r>
      <w:r>
        <w:rPr>
          <w:rFonts w:ascii="宋体" w:hAnsi="宋体" w:cs="宋体"/>
          <w:b/>
          <w:bCs/>
          <w:sz w:val="28"/>
          <w:szCs w:val="28"/>
        </w:rPr>
        <w:t>年热敏纸类采购项目</w:t>
      </w:r>
    </w:p>
    <w:p w14:paraId="7DC9900D">
      <w:pPr>
        <w:pStyle w:val="4"/>
        <w:numPr>
          <w:ilvl w:val="0"/>
          <w:numId w:val="1"/>
        </w:numPr>
        <w:spacing w:line="360" w:lineRule="auto"/>
        <w:rPr>
          <w:rFonts w:ascii="宋体" w:hAnsi="宋体" w:cs="宋体"/>
          <w:b/>
          <w:bCs/>
          <w:sz w:val="24"/>
          <w:szCs w:val="24"/>
        </w:rPr>
      </w:pPr>
      <w:r>
        <w:rPr>
          <w:rFonts w:ascii="宋体" w:hAnsi="宋体" w:cs="宋体"/>
          <w:b/>
          <w:bCs/>
          <w:sz w:val="24"/>
          <w:szCs w:val="24"/>
        </w:rPr>
        <w:t>采购金额</w:t>
      </w:r>
    </w:p>
    <w:p w14:paraId="7EA0980A">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ascii="宋体" w:hAnsi="宋体" w:cs="宋体"/>
          <w:sz w:val="24"/>
          <w:szCs w:val="24"/>
        </w:rPr>
      </w:pPr>
      <w:r>
        <w:rPr>
          <w:rFonts w:ascii="宋体" w:hAnsi="宋体" w:cs="宋体"/>
          <w:sz w:val="24"/>
          <w:szCs w:val="24"/>
        </w:rPr>
        <w:t>采购</w:t>
      </w:r>
      <w:r>
        <w:rPr>
          <w:rFonts w:hint="eastAsia" w:ascii="宋体" w:hAnsi="宋体" w:cs="宋体"/>
          <w:sz w:val="24"/>
          <w:szCs w:val="24"/>
          <w:lang w:val="en-US" w:eastAsia="zh-CN"/>
        </w:rPr>
        <w:t>单价</w:t>
      </w:r>
      <w:r>
        <w:rPr>
          <w:rFonts w:ascii="宋体" w:hAnsi="宋体" w:cs="宋体"/>
          <w:sz w:val="24"/>
          <w:szCs w:val="24"/>
        </w:rPr>
        <w:t>包括货款、配送费、运输、保险、售后服务、税费等</w:t>
      </w:r>
      <w:r>
        <w:rPr>
          <w:rFonts w:hint="eastAsia" w:ascii="宋体" w:hAnsi="宋体" w:cs="宋体"/>
          <w:sz w:val="24"/>
          <w:szCs w:val="24"/>
          <w:lang w:val="en-US" w:eastAsia="zh-CN"/>
        </w:rPr>
        <w:t>合同期内产生的一切</w:t>
      </w:r>
      <w:r>
        <w:rPr>
          <w:rFonts w:ascii="宋体" w:hAnsi="宋体" w:cs="宋体"/>
          <w:sz w:val="24"/>
          <w:szCs w:val="24"/>
        </w:rPr>
        <w:t>费用，采购人不再另行支付</w:t>
      </w:r>
      <w:r>
        <w:rPr>
          <w:rFonts w:hint="eastAsia" w:ascii="宋体" w:hAnsi="宋体" w:cs="宋体"/>
          <w:sz w:val="24"/>
          <w:szCs w:val="24"/>
          <w:lang w:val="en-US" w:eastAsia="zh-CN"/>
        </w:rPr>
        <w:t>其他</w:t>
      </w:r>
      <w:r>
        <w:rPr>
          <w:rFonts w:ascii="宋体" w:hAnsi="宋体" w:cs="宋体"/>
          <w:sz w:val="24"/>
          <w:szCs w:val="24"/>
        </w:rPr>
        <w:t>费用。</w:t>
      </w:r>
      <w:r>
        <w:rPr>
          <w:rFonts w:hint="eastAsia" w:ascii="宋体" w:hAnsi="宋体" w:cs="宋体"/>
          <w:sz w:val="24"/>
          <w:szCs w:val="24"/>
          <w:lang w:val="en-US" w:eastAsia="zh-CN"/>
        </w:rPr>
        <w:t>合同期内</w:t>
      </w:r>
      <w:r>
        <w:rPr>
          <w:rFonts w:ascii="宋体" w:hAnsi="宋体" w:cs="宋体"/>
          <w:sz w:val="24"/>
          <w:szCs w:val="24"/>
        </w:rPr>
        <w:t>供货单价不变。</w:t>
      </w:r>
    </w:p>
    <w:p w14:paraId="4D690836">
      <w:pPr>
        <w:pStyle w:val="4"/>
        <w:numPr>
          <w:ilvl w:val="0"/>
          <w:numId w:val="1"/>
        </w:numPr>
        <w:spacing w:line="360" w:lineRule="auto"/>
        <w:rPr>
          <w:rFonts w:ascii="宋体" w:hAnsi="宋体" w:cs="宋体"/>
          <w:b/>
          <w:bCs/>
          <w:sz w:val="24"/>
          <w:szCs w:val="24"/>
        </w:rPr>
      </w:pPr>
      <w:r>
        <w:rPr>
          <w:rFonts w:hint="eastAsia" w:ascii="宋体" w:hAnsi="宋体" w:cs="宋体"/>
          <w:b/>
          <w:bCs/>
          <w:sz w:val="24"/>
          <w:szCs w:val="24"/>
          <w:lang w:val="en-US" w:eastAsia="zh-CN"/>
        </w:rPr>
        <w:t>供货期限</w:t>
      </w:r>
      <w:r>
        <w:rPr>
          <w:rFonts w:ascii="宋体" w:hAnsi="宋体" w:cs="宋体"/>
          <w:b/>
          <w:bCs/>
          <w:sz w:val="24"/>
          <w:szCs w:val="24"/>
        </w:rPr>
        <w:t>：</w:t>
      </w:r>
      <w:r>
        <w:rPr>
          <w:rFonts w:hint="eastAsia" w:ascii="宋体" w:hAnsi="宋体" w:cs="宋体"/>
          <w:b w:val="0"/>
          <w:bCs w:val="0"/>
          <w:sz w:val="24"/>
          <w:szCs w:val="24"/>
          <w:lang w:val="en-US" w:eastAsia="zh-CN"/>
        </w:rPr>
        <w:t>两年，</w:t>
      </w:r>
      <w:r>
        <w:rPr>
          <w:rFonts w:hint="eastAsia" w:ascii="宋体" w:hAnsi="宋体" w:cs="宋体"/>
          <w:b w:val="0"/>
          <w:bCs w:val="0"/>
          <w:sz w:val="24"/>
          <w:szCs w:val="24"/>
        </w:rPr>
        <w:t>实际供货期限以“合同期内结算金额累计达到合同金额”或“自合同签订之日起两年”条件先到者为准。</w:t>
      </w:r>
    </w:p>
    <w:p w14:paraId="1E7FDAAC">
      <w:pPr>
        <w:pStyle w:val="4"/>
        <w:numPr>
          <w:ilvl w:val="0"/>
          <w:numId w:val="1"/>
        </w:numPr>
        <w:spacing w:line="360" w:lineRule="auto"/>
        <w:rPr>
          <w:rFonts w:ascii="宋体" w:hAnsi="宋体" w:cs="宋体"/>
          <w:b/>
          <w:bCs/>
          <w:sz w:val="24"/>
          <w:szCs w:val="24"/>
        </w:rPr>
      </w:pPr>
      <w:r>
        <w:rPr>
          <w:rFonts w:hint="eastAsia" w:ascii="宋体" w:hAnsi="宋体" w:cs="宋体"/>
          <w:b/>
          <w:bCs/>
          <w:sz w:val="24"/>
          <w:szCs w:val="24"/>
          <w:lang w:val="en-US" w:eastAsia="zh-CN"/>
        </w:rPr>
        <w:t>采购清单</w:t>
      </w:r>
      <w:bookmarkStart w:id="0" w:name="_GoBack"/>
      <w:bookmarkEnd w:id="0"/>
    </w:p>
    <w:tbl>
      <w:tblPr>
        <w:tblStyle w:val="2"/>
        <w:tblW w:w="82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4"/>
        <w:gridCol w:w="5430"/>
        <w:gridCol w:w="1316"/>
        <w:gridCol w:w="1080"/>
      </w:tblGrid>
      <w:tr w14:paraId="1C40C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C0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5178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10C5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货物样式图片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AB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计划采购数量（卷）</w:t>
            </w:r>
          </w:p>
        </w:tc>
      </w:tr>
      <w:tr w14:paraId="576B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82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39A4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热敏纸3*5cm（800张/卷,轴距35mm）</w:t>
            </w:r>
          </w:p>
        </w:tc>
        <w:tc>
          <w:tcPr>
            <w:tcW w:w="1316" w:type="dxa"/>
            <w:vMerge w:val="restart"/>
            <w:tcBorders>
              <w:top w:val="single" w:color="000000" w:sz="4" w:space="0"/>
              <w:left w:val="single" w:color="000000" w:sz="4" w:space="0"/>
              <w:right w:val="single" w:color="000000" w:sz="4" w:space="0"/>
            </w:tcBorders>
            <w:shd w:val="clear" w:color="auto" w:fill="auto"/>
            <w:vAlign w:val="center"/>
          </w:tcPr>
          <w:p w14:paraId="49B8281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10160</wp:posOffset>
                  </wp:positionH>
                  <wp:positionV relativeFrom="paragraph">
                    <wp:posOffset>210185</wp:posOffset>
                  </wp:positionV>
                  <wp:extent cx="638810" cy="753110"/>
                  <wp:effectExtent l="0" t="0" r="8890" b="8890"/>
                  <wp:wrapNone/>
                  <wp:docPr id="3" name="图片_1"/>
                  <wp:cNvGraphicFramePr/>
                  <a:graphic xmlns:a="http://schemas.openxmlformats.org/drawingml/2006/main">
                    <a:graphicData uri="http://schemas.openxmlformats.org/drawingml/2006/picture">
                      <pic:pic xmlns:pic="http://schemas.openxmlformats.org/drawingml/2006/picture">
                        <pic:nvPicPr>
                          <pic:cNvPr id="3" name="图片_1"/>
                          <pic:cNvPicPr/>
                        </pic:nvPicPr>
                        <pic:blipFill>
                          <a:blip r:embed="rId4"/>
                          <a:stretch>
                            <a:fillRect/>
                          </a:stretch>
                        </pic:blipFill>
                        <pic:spPr>
                          <a:xfrm>
                            <a:off x="0" y="0"/>
                            <a:ext cx="638810" cy="753110"/>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7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8000</w:t>
            </w:r>
          </w:p>
        </w:tc>
      </w:tr>
      <w:tr w14:paraId="302DD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1F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4E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热敏纸6*5cm（500张/卷,轴距35mm）</w:t>
            </w:r>
          </w:p>
        </w:tc>
        <w:tc>
          <w:tcPr>
            <w:tcW w:w="1316" w:type="dxa"/>
            <w:vMerge w:val="continue"/>
            <w:tcBorders>
              <w:left w:val="single" w:color="000000" w:sz="4" w:space="0"/>
              <w:right w:val="single" w:color="000000" w:sz="4" w:space="0"/>
            </w:tcBorders>
            <w:shd w:val="clear" w:color="auto" w:fill="auto"/>
            <w:vAlign w:val="center"/>
          </w:tcPr>
          <w:p w14:paraId="0D73E71A">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52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r>
      <w:tr w14:paraId="6F461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8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5A5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热敏纸8*5cm（1000张/卷,轴距35mm）</w:t>
            </w:r>
          </w:p>
        </w:tc>
        <w:tc>
          <w:tcPr>
            <w:tcW w:w="1316" w:type="dxa"/>
            <w:vMerge w:val="continue"/>
            <w:tcBorders>
              <w:left w:val="single" w:color="000000" w:sz="4" w:space="0"/>
              <w:right w:val="single" w:color="000000" w:sz="4" w:space="0"/>
            </w:tcBorders>
            <w:shd w:val="clear" w:color="auto" w:fill="auto"/>
            <w:vAlign w:val="center"/>
          </w:tcPr>
          <w:p w14:paraId="23D1254A">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EC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3500</w:t>
            </w:r>
          </w:p>
        </w:tc>
      </w:tr>
      <w:tr w14:paraId="1DAB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6E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292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热敏纸5*3cm（1500张/卷，卷芯内径不小于42mm）</w:t>
            </w:r>
          </w:p>
        </w:tc>
        <w:tc>
          <w:tcPr>
            <w:tcW w:w="1316" w:type="dxa"/>
            <w:vMerge w:val="continue"/>
            <w:tcBorders>
              <w:left w:val="single" w:color="000000" w:sz="4" w:space="0"/>
              <w:right w:val="single" w:color="000000" w:sz="4" w:space="0"/>
            </w:tcBorders>
            <w:shd w:val="clear" w:color="auto" w:fill="auto"/>
            <w:vAlign w:val="center"/>
          </w:tcPr>
          <w:p w14:paraId="0923C28F">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9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14:paraId="71FB9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5E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6BC9F">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热敏纸5*3cm（300张/卷，卷芯内径不小于12mm）</w:t>
            </w:r>
          </w:p>
        </w:tc>
        <w:tc>
          <w:tcPr>
            <w:tcW w:w="1316" w:type="dxa"/>
            <w:vMerge w:val="continue"/>
            <w:tcBorders>
              <w:left w:val="single" w:color="000000" w:sz="4" w:space="0"/>
              <w:right w:val="single" w:color="000000" w:sz="4" w:space="0"/>
            </w:tcBorders>
            <w:shd w:val="clear" w:color="auto" w:fill="auto"/>
            <w:vAlign w:val="center"/>
          </w:tcPr>
          <w:p w14:paraId="60FB4511">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3A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r>
      <w:tr w14:paraId="44DD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900C">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6</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0D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热敏纸8*8cm（600张/卷）</w:t>
            </w:r>
          </w:p>
        </w:tc>
        <w:tc>
          <w:tcPr>
            <w:tcW w:w="1316" w:type="dxa"/>
            <w:vMerge w:val="continue"/>
            <w:tcBorders>
              <w:left w:val="single" w:color="000000" w:sz="4" w:space="0"/>
              <w:bottom w:val="single" w:color="000000" w:sz="4" w:space="0"/>
              <w:right w:val="single" w:color="000000" w:sz="4" w:space="0"/>
            </w:tcBorders>
            <w:shd w:val="clear" w:color="auto" w:fill="auto"/>
            <w:vAlign w:val="center"/>
          </w:tcPr>
          <w:p w14:paraId="41CB1623">
            <w:pPr>
              <w:rPr>
                <w:rFonts w:hint="eastAsia" w:ascii="宋体" w:hAnsi="宋体" w:eastAsia="宋体" w:cs="宋体"/>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3DF1">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14:paraId="41C6B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2"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5E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5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13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医用管道标识（500张/卷，彩色，医疗级PE材料）</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52D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-17145</wp:posOffset>
                  </wp:positionH>
                  <wp:positionV relativeFrom="paragraph">
                    <wp:posOffset>-17780</wp:posOffset>
                  </wp:positionV>
                  <wp:extent cx="689610" cy="499110"/>
                  <wp:effectExtent l="0" t="0" r="15240" b="15240"/>
                  <wp:wrapNone/>
                  <wp:docPr id="4" name="图片_2"/>
                  <wp:cNvGraphicFramePr/>
                  <a:graphic xmlns:a="http://schemas.openxmlformats.org/drawingml/2006/main">
                    <a:graphicData uri="http://schemas.openxmlformats.org/drawingml/2006/picture">
                      <pic:pic xmlns:pic="http://schemas.openxmlformats.org/drawingml/2006/picture">
                        <pic:nvPicPr>
                          <pic:cNvPr id="4" name="图片_2"/>
                          <pic:cNvPicPr/>
                        </pic:nvPicPr>
                        <pic:blipFill>
                          <a:blip r:embed="rId5"/>
                          <a:stretch>
                            <a:fillRect/>
                          </a:stretch>
                        </pic:blipFill>
                        <pic:spPr>
                          <a:xfrm>
                            <a:off x="0" y="0"/>
                            <a:ext cx="689610" cy="499110"/>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E3DA">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500</w:t>
            </w:r>
          </w:p>
        </w:tc>
      </w:tr>
      <w:tr w14:paraId="3C449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4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7604">
            <w:pPr>
              <w:jc w:val="both"/>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8</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95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锐器盒标签（500张/卷）</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46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drawing>
                <wp:anchor distT="0" distB="0" distL="114300" distR="114300" simplePos="0" relativeHeight="251659264" behindDoc="0" locked="0" layoutInCell="1" allowOverlap="1">
                  <wp:simplePos x="0" y="0"/>
                  <wp:positionH relativeFrom="column">
                    <wp:posOffset>5715</wp:posOffset>
                  </wp:positionH>
                  <wp:positionV relativeFrom="paragraph">
                    <wp:posOffset>-18415</wp:posOffset>
                  </wp:positionV>
                  <wp:extent cx="529590" cy="511175"/>
                  <wp:effectExtent l="0" t="0" r="3810" b="3175"/>
                  <wp:wrapNone/>
                  <wp:docPr id="2" name="图片_3"/>
                  <wp:cNvGraphicFramePr/>
                  <a:graphic xmlns:a="http://schemas.openxmlformats.org/drawingml/2006/main">
                    <a:graphicData uri="http://schemas.openxmlformats.org/drawingml/2006/picture">
                      <pic:pic xmlns:pic="http://schemas.openxmlformats.org/drawingml/2006/picture">
                        <pic:nvPicPr>
                          <pic:cNvPr id="2" name="图片_3"/>
                          <pic:cNvPicPr/>
                        </pic:nvPicPr>
                        <pic:blipFill>
                          <a:blip r:embed="rId6"/>
                          <a:stretch>
                            <a:fillRect/>
                          </a:stretch>
                        </pic:blipFill>
                        <pic:spPr>
                          <a:xfrm>
                            <a:off x="0" y="0"/>
                            <a:ext cx="529590" cy="511175"/>
                          </a:xfrm>
                          <a:prstGeom prst="rect">
                            <a:avLst/>
                          </a:prstGeom>
                          <a:noFill/>
                          <a:ln>
                            <a:noFill/>
                          </a:ln>
                        </pic:spPr>
                      </pic:pic>
                    </a:graphicData>
                  </a:graphic>
                </wp:anchor>
              </w:drawing>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7AE1">
            <w:pPr>
              <w:jc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w:t>
            </w:r>
          </w:p>
        </w:tc>
      </w:tr>
      <w:tr w14:paraId="1D4DC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6" w:hRule="atLeast"/>
          <w:jc w:val="center"/>
        </w:trPr>
        <w:tc>
          <w:tcPr>
            <w:tcW w:w="82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4D7DE9">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材质要求：</w:t>
            </w:r>
          </w:p>
          <w:p w14:paraId="51EBE43B">
            <w:pPr>
              <w:jc w:val="left"/>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1.表纸：有热敏涂层的平滑亮白纸，基本克重：70g/m2±16%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2.发色性能优良，文字、条形码、二维码打印清晰。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3.耐刮擦性能优异，防止标签在货物运输过程中因碰撞、摩擦而发色，不影响条码识别。</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4.具备优秀的防水、防油、防溶剂、防增塑剂性能。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5.耐候性能优异，字迹保存性能高，能防止日光照射或潮湿环境下字迹消退或纸面发黄而无法识别信息。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6.打印适应性强，满足200mm/s的连续高速打印。打印头寿命达100公里以上，减少打印机磨耗率。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7.符合RoHs2.0环保标准，双酚A含量符合欧盟REACH法规小于0.02%的要求。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8.粘胶剂：通用型永久性丙烯酸乳胶。适合各种温度的永久性强力粘胶剂。适用诸多包装材料上、具有模切与排废性能。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9.底纸：经超级砑光处理的白色格拉辛底纸。基本克重：50g/m2±6% 。典型粘性值(N/25mm)：(N/25mm)：初始粘性(st,st)-FTM9：14.0或撕裂20分钟90°剥离粘性(st,st)-FTM2：7.0或撕裂24小时90°剥离粘性(st,st)-FTM2：8.0或撕裂最低贴标温度：7°C使用温度范围：-5°C~+70°C</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10.尺寸工艺：间隙3mm、带虚线、圆角单排。</w:t>
            </w:r>
          </w:p>
        </w:tc>
      </w:tr>
    </w:tbl>
    <w:p w14:paraId="0DDC4213">
      <w:pPr>
        <w:pStyle w:val="4"/>
        <w:numPr>
          <w:ilvl w:val="0"/>
          <w:numId w:val="1"/>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付款方式</w:t>
      </w:r>
    </w:p>
    <w:p w14:paraId="50D36D14">
      <w:pPr>
        <w:keepNext w:val="0"/>
        <w:keepLines w:val="0"/>
        <w:pageBreakBefore w:val="0"/>
        <w:widowControl w:val="0"/>
        <w:tabs>
          <w:tab w:val="right" w:pos="9524"/>
        </w:tabs>
        <w:kinsoku/>
        <w:wordWrap/>
        <w:overflowPunct/>
        <w:topLinePunct w:val="0"/>
        <w:autoSpaceDE w:val="0"/>
        <w:autoSpaceDN w:val="0"/>
        <w:bidi w:val="0"/>
        <w:adjustRightInd w:val="0"/>
        <w:snapToGrid/>
        <w:spacing w:line="360" w:lineRule="auto"/>
        <w:ind w:firstLine="480" w:firstLineChars="200"/>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按月结算，每月初按上一个月的实际采购数量进行结算，结算金额=∑（供货单价×实际采购货物数量），以人民币方式结算。供应商须提供以下资料，采购人核对无误后，在收到以下资料后二十个工作日内（遇节假日顺延）银行转账付款：</w:t>
      </w:r>
    </w:p>
    <w:p w14:paraId="618AFE33">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合同原件（仅首次请款提供）；</w:t>
      </w:r>
    </w:p>
    <w:p w14:paraId="5DA3C062">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双方确认的一式三份送货清单；</w:t>
      </w:r>
    </w:p>
    <w:p w14:paraId="21824C9E">
      <w:pPr>
        <w:keepNext w:val="0"/>
        <w:keepLines w:val="0"/>
        <w:pageBreakBefore w:val="0"/>
        <w:widowControl w:val="0"/>
        <w:numPr>
          <w:ilvl w:val="0"/>
          <w:numId w:val="2"/>
        </w:numPr>
        <w:kinsoku/>
        <w:wordWrap/>
        <w:overflowPunct/>
        <w:topLinePunct w:val="0"/>
        <w:autoSpaceDE w:val="0"/>
        <w:autoSpaceDN w:val="0"/>
        <w:bidi w:val="0"/>
        <w:adjustRightInd w:val="0"/>
        <w:snapToGrid/>
        <w:spacing w:line="360" w:lineRule="auto"/>
        <w:ind w:firstLine="480" w:firstLineChars="200"/>
        <w:jc w:val="left"/>
        <w:textAlignment w:val="baseline"/>
        <w:outlineLvl w:val="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有效等额普通发票。</w:t>
      </w:r>
    </w:p>
    <w:p w14:paraId="4ED2E825">
      <w:pPr>
        <w:pStyle w:val="4"/>
        <w:numPr>
          <w:ilvl w:val="0"/>
          <w:numId w:val="1"/>
        </w:numPr>
        <w:spacing w:line="360" w:lineRule="auto"/>
        <w:rPr>
          <w:rFonts w:ascii="宋体" w:hAnsi="宋体" w:cs="宋体"/>
          <w:b/>
          <w:bCs/>
          <w:sz w:val="24"/>
          <w:szCs w:val="24"/>
        </w:rPr>
      </w:pPr>
      <w:r>
        <w:rPr>
          <w:rFonts w:ascii="宋体" w:hAnsi="宋体" w:cs="宋体"/>
          <w:b/>
          <w:bCs/>
          <w:sz w:val="24"/>
          <w:szCs w:val="24"/>
        </w:rPr>
        <w:t>供货要求</w:t>
      </w:r>
    </w:p>
    <w:p w14:paraId="1C8F2C88">
      <w:pPr>
        <w:pStyle w:val="4"/>
        <w:numPr>
          <w:ilvl w:val="0"/>
          <w:numId w:val="3"/>
        </w:numPr>
        <w:spacing w:line="360" w:lineRule="auto"/>
        <w:ind w:lef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采购人发出订货清单后，</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须3天内送达。遇紧急情况，供应商应在24小时内送达。</w:t>
      </w:r>
    </w:p>
    <w:p w14:paraId="0A8C0878">
      <w:pPr>
        <w:pStyle w:val="4"/>
        <w:numPr>
          <w:ilvl w:val="0"/>
          <w:numId w:val="3"/>
        </w:numPr>
        <w:spacing w:line="360" w:lineRule="auto"/>
        <w:ind w:left="0" w:firstLine="42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采购人每周</w:t>
      </w:r>
      <w:r>
        <w:rPr>
          <w:rFonts w:hint="eastAsia" w:ascii="宋体" w:hAnsi="宋体" w:eastAsia="宋体" w:cs="宋体"/>
          <w:sz w:val="24"/>
          <w:szCs w:val="24"/>
          <w:lang w:val="en-US" w:eastAsia="zh-CN"/>
        </w:rPr>
        <w:t>一、三、五</w:t>
      </w:r>
      <w:r>
        <w:rPr>
          <w:rFonts w:hint="default" w:ascii="宋体" w:hAnsi="宋体" w:eastAsia="宋体" w:cs="宋体"/>
          <w:sz w:val="24"/>
          <w:szCs w:val="24"/>
          <w:lang w:val="en-US" w:eastAsia="zh-CN"/>
        </w:rPr>
        <w:t>汇总一次发给供应商，供应商</w:t>
      </w:r>
      <w:r>
        <w:rPr>
          <w:rFonts w:hint="eastAsia" w:ascii="宋体" w:hAnsi="宋体" w:eastAsia="宋体" w:cs="宋体"/>
          <w:sz w:val="24"/>
          <w:szCs w:val="24"/>
          <w:lang w:val="en-US" w:eastAsia="zh-CN"/>
        </w:rPr>
        <w:t>收到订单后3天</w:t>
      </w:r>
      <w:r>
        <w:rPr>
          <w:rFonts w:hint="default" w:ascii="宋体" w:hAnsi="宋体" w:eastAsia="宋体" w:cs="宋体"/>
          <w:sz w:val="24"/>
          <w:szCs w:val="24"/>
          <w:lang w:val="en-US" w:eastAsia="zh-CN"/>
        </w:rPr>
        <w:t>内完成配送</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并于发货前通知采购人</w:t>
      </w:r>
      <w:r>
        <w:rPr>
          <w:rFonts w:hint="eastAsia" w:ascii="宋体" w:hAnsi="宋体" w:eastAsia="宋体" w:cs="宋体"/>
          <w:sz w:val="24"/>
          <w:szCs w:val="24"/>
          <w:lang w:val="en-US" w:eastAsia="zh-CN"/>
        </w:rPr>
        <w:t>。</w:t>
      </w:r>
    </w:p>
    <w:p w14:paraId="62541FF7">
      <w:pPr>
        <w:pStyle w:val="4"/>
        <w:numPr>
          <w:ilvl w:val="0"/>
          <w:numId w:val="3"/>
        </w:numPr>
        <w:spacing w:line="360" w:lineRule="auto"/>
        <w:ind w:left="0" w:firstLine="42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配送</w:t>
      </w:r>
      <w:r>
        <w:rPr>
          <w:rFonts w:hint="eastAsia" w:ascii="宋体" w:hAnsi="宋体" w:eastAsia="宋体" w:cs="宋体"/>
          <w:sz w:val="24"/>
          <w:szCs w:val="24"/>
          <w:lang w:val="en-US" w:eastAsia="zh-CN"/>
        </w:rPr>
        <w:t>地点：</w:t>
      </w:r>
      <w:r>
        <w:rPr>
          <w:rFonts w:hint="default" w:ascii="宋体" w:hAnsi="宋体" w:eastAsia="宋体" w:cs="宋体"/>
          <w:sz w:val="24"/>
          <w:szCs w:val="24"/>
          <w:lang w:val="en-US" w:eastAsia="zh-CN"/>
        </w:rPr>
        <w:t>广州市番禺区市桥清河东路2号</w:t>
      </w:r>
      <w:r>
        <w:rPr>
          <w:rFonts w:hint="eastAsia" w:ascii="宋体" w:hAnsi="宋体" w:eastAsia="宋体" w:cs="宋体"/>
          <w:sz w:val="24"/>
          <w:szCs w:val="24"/>
          <w:lang w:val="en-US" w:eastAsia="zh-CN"/>
        </w:rPr>
        <w:t>仓库或指定地点，紧急配送须送至指定科室地点。</w:t>
      </w:r>
    </w:p>
    <w:p w14:paraId="61726590">
      <w:pPr>
        <w:pStyle w:val="4"/>
        <w:numPr>
          <w:ilvl w:val="0"/>
          <w:numId w:val="3"/>
        </w:numPr>
        <w:spacing w:line="360" w:lineRule="auto"/>
        <w:ind w:left="0" w:firstLine="42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包装</w:t>
      </w:r>
      <w:r>
        <w:rPr>
          <w:rFonts w:hint="eastAsia" w:ascii="宋体" w:hAnsi="宋体" w:eastAsia="宋体" w:cs="宋体"/>
          <w:sz w:val="24"/>
          <w:szCs w:val="24"/>
          <w:lang w:val="en-US" w:eastAsia="zh-CN"/>
        </w:rPr>
        <w:t>：</w:t>
      </w:r>
      <w:r>
        <w:rPr>
          <w:rFonts w:hint="default" w:ascii="宋体" w:hAnsi="宋体" w:eastAsia="宋体" w:cs="宋体"/>
          <w:sz w:val="24"/>
          <w:szCs w:val="24"/>
          <w:lang w:val="en-US" w:eastAsia="zh-CN"/>
        </w:rPr>
        <w:t>以品种及规格为单位进行装箱，在每个包装箱上注明货物名称。满足运输安全要求和规范规定，由于包装和运输过程中造成采购货物损坏，采购人有权拒收</w:t>
      </w:r>
      <w:r>
        <w:rPr>
          <w:rFonts w:hint="eastAsia" w:ascii="宋体" w:hAnsi="宋体" w:cs="宋体"/>
          <w:sz w:val="24"/>
          <w:szCs w:val="24"/>
          <w:lang w:val="en-US" w:eastAsia="zh-CN"/>
        </w:rPr>
        <w:t>损坏的</w:t>
      </w:r>
      <w:r>
        <w:rPr>
          <w:rFonts w:hint="default" w:ascii="宋体" w:hAnsi="宋体" w:eastAsia="宋体" w:cs="宋体"/>
          <w:sz w:val="24"/>
          <w:szCs w:val="24"/>
          <w:lang w:val="en-US" w:eastAsia="zh-CN"/>
        </w:rPr>
        <w:t>货物。</w:t>
      </w:r>
    </w:p>
    <w:p w14:paraId="315C5827">
      <w:pPr>
        <w:pStyle w:val="4"/>
        <w:numPr>
          <w:ilvl w:val="0"/>
          <w:numId w:val="3"/>
        </w:numPr>
        <w:spacing w:line="360" w:lineRule="auto"/>
        <w:ind w:left="0" w:firstLine="42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非采购人指定人员下单的货物，采购人拒绝支付相应货款。</w:t>
      </w:r>
    </w:p>
    <w:p w14:paraId="027DA5A8">
      <w:pPr>
        <w:pStyle w:val="4"/>
        <w:numPr>
          <w:ilvl w:val="0"/>
          <w:numId w:val="3"/>
        </w:numPr>
        <w:spacing w:line="360" w:lineRule="auto"/>
        <w:ind w:left="0" w:firstLine="420"/>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每次交货须随附一式三份的送货清单，</w:t>
      </w:r>
      <w:r>
        <w:rPr>
          <w:rFonts w:hint="eastAsia" w:ascii="宋体" w:hAnsi="宋体" w:eastAsia="宋体" w:cs="宋体"/>
          <w:sz w:val="24"/>
          <w:szCs w:val="24"/>
          <w:lang w:val="en-US" w:eastAsia="zh-CN"/>
        </w:rPr>
        <w:t>经双方签字确认后作为结算依据</w:t>
      </w:r>
      <w:r>
        <w:rPr>
          <w:rFonts w:hint="default" w:ascii="宋体" w:hAnsi="宋体" w:eastAsia="宋体" w:cs="宋体"/>
          <w:sz w:val="24"/>
          <w:szCs w:val="24"/>
          <w:lang w:val="en-US" w:eastAsia="zh-CN"/>
        </w:rPr>
        <w:t>。</w:t>
      </w:r>
    </w:p>
    <w:p w14:paraId="144761ED">
      <w:pPr>
        <w:pStyle w:val="4"/>
        <w:numPr>
          <w:ilvl w:val="0"/>
          <w:numId w:val="1"/>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验收</w:t>
      </w:r>
    </w:p>
    <w:p w14:paraId="0B1E347E">
      <w:pPr>
        <w:keepNext w:val="0"/>
        <w:keepLines w:val="0"/>
        <w:pageBreakBefore w:val="0"/>
        <w:widowControl/>
        <w:shd w:val="clear" w:color="auto" w:fill="FFFFFF"/>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验收应在采购人和供应商双方共同参加下进行。验收内容包括规格、数量、包装、质量等是否符合合同约定。若发现任何问题，采购人有权拒收货物，供应商应在2个工作日内完成整改或更换。</w:t>
      </w:r>
    </w:p>
    <w:p w14:paraId="6675E9AF">
      <w:pPr>
        <w:pStyle w:val="4"/>
        <w:numPr>
          <w:ilvl w:val="0"/>
          <w:numId w:val="1"/>
        </w:numPr>
        <w:spacing w:line="360" w:lineRule="auto"/>
        <w:rPr>
          <w:rFonts w:ascii="宋体" w:hAnsi="宋体" w:cs="宋体"/>
          <w:b/>
          <w:bCs/>
          <w:sz w:val="24"/>
          <w:szCs w:val="24"/>
        </w:rPr>
      </w:pPr>
      <w:r>
        <w:rPr>
          <w:rFonts w:ascii="宋体" w:hAnsi="宋体" w:cs="宋体"/>
          <w:b/>
          <w:bCs/>
          <w:sz w:val="24"/>
          <w:szCs w:val="24"/>
        </w:rPr>
        <w:t>售后服务</w:t>
      </w:r>
    </w:p>
    <w:p w14:paraId="12904D19">
      <w:pPr>
        <w:pStyle w:val="4"/>
        <w:numPr>
          <w:ilvl w:val="0"/>
          <w:numId w:val="4"/>
        </w:numPr>
        <w:spacing w:line="360" w:lineRule="auto"/>
        <w:ind w:left="0" w:firstLine="420"/>
        <w:rPr>
          <w:rFonts w:hint="eastAsia" w:ascii="宋体" w:hAnsi="宋体" w:eastAsia="宋体" w:cs="宋体"/>
          <w:sz w:val="24"/>
          <w:szCs w:val="24"/>
          <w:lang w:val="en-US" w:eastAsia="zh-CN"/>
        </w:rPr>
      </w:pPr>
      <w:r>
        <w:rPr>
          <w:rFonts w:hint="eastAsia" w:ascii="宋体" w:hAnsi="宋体" w:cs="宋体"/>
          <w:sz w:val="24"/>
          <w:szCs w:val="24"/>
          <w:lang w:val="en-US" w:eastAsia="zh-CN"/>
        </w:rPr>
        <w:t>验收</w:t>
      </w:r>
      <w:r>
        <w:rPr>
          <w:rFonts w:hint="eastAsia" w:ascii="宋体" w:hAnsi="宋体" w:eastAsia="宋体" w:cs="宋体"/>
          <w:sz w:val="24"/>
          <w:szCs w:val="24"/>
          <w:lang w:val="en-US" w:eastAsia="zh-CN"/>
        </w:rPr>
        <w:t>时发现的破损、受潮、有效期不足6个月或其他不合格货物，</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须在3天内重新配送合格产品给采购人，产生的费用由</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承担。经三次换货后仍不符合要求的，采购人有权单方解除合同，不再支付任何费用，造成采购人损失的，</w:t>
      </w:r>
      <w:r>
        <w:rPr>
          <w:rFonts w:hint="eastAsia" w:ascii="宋体" w:hAnsi="宋体" w:cs="宋体"/>
          <w:sz w:val="24"/>
          <w:szCs w:val="24"/>
          <w:lang w:val="en-US" w:eastAsia="zh-CN"/>
        </w:rPr>
        <w:t>供应商</w:t>
      </w:r>
      <w:r>
        <w:rPr>
          <w:rFonts w:hint="eastAsia" w:ascii="宋体" w:hAnsi="宋体" w:eastAsia="宋体" w:cs="宋体"/>
          <w:sz w:val="24"/>
          <w:szCs w:val="24"/>
          <w:lang w:val="en-US" w:eastAsia="zh-CN"/>
        </w:rPr>
        <w:t>应承担相应的赔偿责任。</w:t>
      </w:r>
    </w:p>
    <w:p w14:paraId="1315E0E2">
      <w:pPr>
        <w:pStyle w:val="4"/>
        <w:numPr>
          <w:ilvl w:val="0"/>
          <w:numId w:val="4"/>
        </w:numPr>
        <w:spacing w:line="360" w:lineRule="auto"/>
        <w:ind w:lef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质保期为6个月。质保期内，非采购人的人为原因而出现的质量问题由供应商负责包换或包退，并承担调换或退货的实际费用。出现不符合质量标准的物品，须在接到采购人通知后24小时内更换。</w:t>
      </w:r>
    </w:p>
    <w:p w14:paraId="0F1A9E43">
      <w:pPr>
        <w:pStyle w:val="4"/>
        <w:numPr>
          <w:ilvl w:val="0"/>
          <w:numId w:val="1"/>
        </w:numPr>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违约责任</w:t>
      </w:r>
    </w:p>
    <w:p w14:paraId="50833DE6">
      <w:pPr>
        <w:pStyle w:val="4"/>
        <w:numPr>
          <w:ilvl w:val="0"/>
          <w:numId w:val="5"/>
        </w:numPr>
        <w:spacing w:line="360" w:lineRule="auto"/>
        <w:ind w:lef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果供应商未能在规定期限内或采购人准许的任何延期内交付部分或全部产品，或者供应商未能履行合同中规定的其他义务，以及在本合同的实施过程中有严重违法行为，采购人有权单方终止全部合同，供应商须支付采购人合同金额的20%作为违约金，造成采购人其他损失的，由供应商承担相应的赔偿责任。</w:t>
      </w:r>
    </w:p>
    <w:p w14:paraId="39DA13F2">
      <w:pPr>
        <w:pStyle w:val="4"/>
        <w:numPr>
          <w:ilvl w:val="0"/>
          <w:numId w:val="5"/>
        </w:numPr>
        <w:spacing w:line="360" w:lineRule="auto"/>
        <w:ind w:lef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如产品出现三次质量问题，仍无法妥善解决，采购人有权单方面终止合同，采购人不再支付任何费用，造成采购人损失的，供应商应承担相应的赔偿责任。</w:t>
      </w:r>
    </w:p>
    <w:p w14:paraId="46DB05B2">
      <w:pPr>
        <w:pStyle w:val="4"/>
        <w:numPr>
          <w:ilvl w:val="0"/>
          <w:numId w:val="5"/>
        </w:numPr>
        <w:spacing w:line="360" w:lineRule="auto"/>
        <w:ind w:left="0" w:firstLine="4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如因产品质量发生重大安全事故（影响人身安全或造成严重经济损失），采购人有权单方面终止合同，由供应商承担因此造成的一切后果。</w:t>
      </w:r>
    </w:p>
    <w:p w14:paraId="55616E0B">
      <w:pPr>
        <w:pStyle w:val="4"/>
        <w:numPr>
          <w:ilvl w:val="0"/>
          <w:numId w:val="1"/>
        </w:numPr>
        <w:spacing w:line="360" w:lineRule="auto"/>
        <w:rPr>
          <w:rFonts w:ascii="宋体" w:hAnsi="宋体" w:cs="宋体"/>
          <w:b/>
          <w:bCs/>
          <w:sz w:val="24"/>
          <w:szCs w:val="24"/>
        </w:rPr>
      </w:pPr>
      <w:r>
        <w:rPr>
          <w:rFonts w:ascii="宋体" w:hAnsi="宋体" w:cs="宋体"/>
          <w:b/>
          <w:bCs/>
          <w:sz w:val="24"/>
          <w:szCs w:val="24"/>
        </w:rPr>
        <w:t>不可抗力</w:t>
      </w:r>
    </w:p>
    <w:p w14:paraId="6B5B610A">
      <w:pPr>
        <w:pStyle w:val="5"/>
        <w:spacing w:line="360" w:lineRule="auto"/>
        <w:ind w:firstLine="480" w:firstLineChars="200"/>
        <w:rPr>
          <w:rFonts w:hint="eastAsia" w:hAnsi="宋体"/>
          <w:color w:val="auto"/>
          <w:kern w:val="2"/>
        </w:rPr>
      </w:pPr>
      <w:r>
        <w:rPr>
          <w:rFonts w:hint="eastAsia" w:hAnsi="宋体"/>
          <w:color w:val="auto"/>
          <w:kern w:val="2"/>
        </w:rPr>
        <w:t>任何一方由于不可抗力原因不能履行合同时，应在不可抗力事件</w:t>
      </w:r>
      <w:r>
        <w:rPr>
          <w:rFonts w:hint="eastAsia" w:hAnsi="宋体"/>
          <w:color w:val="auto"/>
          <w:kern w:val="2"/>
          <w:lang w:val="en-US" w:eastAsia="zh-CN"/>
        </w:rPr>
        <w:t>发生</w:t>
      </w:r>
      <w:r>
        <w:rPr>
          <w:rFonts w:hint="eastAsia" w:hAnsi="宋体"/>
          <w:color w:val="auto"/>
          <w:kern w:val="2"/>
        </w:rPr>
        <w:t>后</w:t>
      </w:r>
      <w:r>
        <w:rPr>
          <w:rFonts w:hint="eastAsia" w:hAnsi="宋体"/>
          <w:color w:val="auto"/>
          <w:kern w:val="2"/>
          <w:lang w:val="en-US" w:eastAsia="zh-CN"/>
        </w:rPr>
        <w:t>24小时</w:t>
      </w:r>
      <w:r>
        <w:rPr>
          <w:rFonts w:hint="eastAsia" w:hAnsi="宋体"/>
          <w:color w:val="auto"/>
          <w:kern w:val="2"/>
        </w:rPr>
        <w:t>内向对方通报，以减轻可能给对方造成的损失，在取得有关机构的不可抗力证明或双方谅解确认后，允许延期履行或修订合同，并根据情况可部分或全部免于承担违约责任。</w:t>
      </w:r>
    </w:p>
    <w:p w14:paraId="586E12FD">
      <w:pPr>
        <w:pStyle w:val="4"/>
        <w:numPr>
          <w:ilvl w:val="0"/>
          <w:numId w:val="1"/>
        </w:numPr>
        <w:spacing w:line="360" w:lineRule="auto"/>
        <w:rPr>
          <w:rFonts w:ascii="宋体" w:hAnsi="宋体" w:cs="宋体"/>
          <w:b/>
          <w:bCs/>
          <w:sz w:val="24"/>
          <w:szCs w:val="24"/>
        </w:rPr>
      </w:pPr>
      <w:r>
        <w:rPr>
          <w:rFonts w:ascii="宋体" w:hAnsi="宋体" w:cs="宋体"/>
          <w:b/>
          <w:bCs/>
          <w:sz w:val="24"/>
          <w:szCs w:val="24"/>
        </w:rPr>
        <w:t>争议及解决办法</w:t>
      </w:r>
    </w:p>
    <w:p w14:paraId="6EE11206">
      <w:pPr>
        <w:pStyle w:val="4"/>
        <w:numPr>
          <w:ilvl w:val="0"/>
          <w:numId w:val="6"/>
        </w:numPr>
        <w:spacing w:line="360" w:lineRule="auto"/>
        <w:ind w:left="0" w:firstLine="420"/>
        <w:rPr>
          <w:rFonts w:ascii="宋体" w:hAnsi="宋体" w:cs="宋体"/>
          <w:sz w:val="24"/>
          <w:szCs w:val="24"/>
        </w:rPr>
      </w:pPr>
      <w:r>
        <w:rPr>
          <w:rFonts w:ascii="宋体" w:hAnsi="宋体" w:cs="宋体"/>
          <w:sz w:val="24"/>
          <w:szCs w:val="24"/>
        </w:rPr>
        <w:t>因货物的质量问题发生争议，由</w:t>
      </w:r>
      <w:r>
        <w:rPr>
          <w:rFonts w:hint="eastAsia" w:ascii="宋体" w:hAnsi="宋体" w:cs="宋体"/>
          <w:sz w:val="24"/>
          <w:szCs w:val="24"/>
        </w:rPr>
        <w:t>广州市市场监督管理局</w:t>
      </w:r>
      <w:r>
        <w:rPr>
          <w:rFonts w:ascii="宋体" w:hAnsi="宋体" w:cs="宋体"/>
          <w:sz w:val="24"/>
          <w:szCs w:val="24"/>
        </w:rPr>
        <w:t>或其指定的质量鉴定单位进行质量鉴定。货物符合质量标准的，鉴定费由采购人承担；货物不符合质量标准的，鉴定费由供应商承担。</w:t>
      </w:r>
    </w:p>
    <w:p w14:paraId="03736AEC">
      <w:pPr>
        <w:pStyle w:val="4"/>
        <w:numPr>
          <w:ilvl w:val="0"/>
          <w:numId w:val="6"/>
        </w:numPr>
        <w:spacing w:line="360" w:lineRule="auto"/>
        <w:ind w:left="0" w:firstLine="420"/>
        <w:rPr>
          <w:rFonts w:ascii="宋体" w:hAnsi="宋体" w:cs="宋体"/>
          <w:sz w:val="24"/>
          <w:szCs w:val="24"/>
        </w:rPr>
      </w:pPr>
      <w:r>
        <w:rPr>
          <w:rFonts w:ascii="宋体" w:hAnsi="宋体" w:cs="宋体"/>
          <w:sz w:val="24"/>
          <w:szCs w:val="24"/>
        </w:rPr>
        <w:t>本合同发生争议，由双方协商或由政府采购监管部门调解解决，协商或调解不成时,双方可向采购人所在地人民法院提起诉讼。</w:t>
      </w:r>
    </w:p>
    <w:p w14:paraId="1FC96B2C">
      <w:pPr>
        <w:spacing w:line="360" w:lineRule="auto"/>
        <w:rPr>
          <w:rFonts w:hint="eastAsia" w:ascii="宋体" w:hAnsi="宋体" w:eastAsia="宋体" w:cs="宋体"/>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92AE2"/>
    <w:multiLevelType w:val="singleLevel"/>
    <w:tmpl w:val="8E892AE2"/>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1">
    <w:nsid w:val="BF9895D8"/>
    <w:multiLevelType w:val="singleLevel"/>
    <w:tmpl w:val="BF9895D8"/>
    <w:lvl w:ilvl="0" w:tentative="0">
      <w:start w:val="1"/>
      <w:numFmt w:val="chineseCounting"/>
      <w:suff w:val="nothing"/>
      <w:lvlText w:val="%1、"/>
      <w:lvlJc w:val="left"/>
      <w:pPr>
        <w:ind w:left="-420" w:firstLine="420"/>
      </w:pPr>
      <w:rPr>
        <w:rFonts w:hint="eastAsia" w:ascii="宋体" w:hAnsi="宋体" w:eastAsia="宋体" w:cs="宋体"/>
        <w:b/>
        <w:bCs/>
        <w:sz w:val="24"/>
        <w:szCs w:val="24"/>
      </w:rPr>
    </w:lvl>
  </w:abstractNum>
  <w:abstractNum w:abstractNumId="2">
    <w:nsid w:val="C992A862"/>
    <w:multiLevelType w:val="singleLevel"/>
    <w:tmpl w:val="C992A862"/>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3">
    <w:nsid w:val="D2E1BC11"/>
    <w:multiLevelType w:val="singleLevel"/>
    <w:tmpl w:val="D2E1BC11"/>
    <w:lvl w:ilvl="0" w:tentative="0">
      <w:start w:val="1"/>
      <w:numFmt w:val="decimal"/>
      <w:suff w:val="space"/>
      <w:lvlText w:val="%1."/>
      <w:lvlJc w:val="left"/>
      <w:pPr>
        <w:ind w:left="425" w:hanging="425"/>
      </w:pPr>
      <w:rPr>
        <w:rFonts w:hint="default" w:ascii="宋体" w:hAnsi="宋体" w:eastAsia="宋体" w:cs="宋体"/>
        <w:sz w:val="24"/>
        <w:szCs w:val="24"/>
      </w:rPr>
    </w:lvl>
  </w:abstractNum>
  <w:abstractNum w:abstractNumId="4">
    <w:nsid w:val="F7FB0B77"/>
    <w:multiLevelType w:val="singleLevel"/>
    <w:tmpl w:val="F7FB0B77"/>
    <w:lvl w:ilvl="0" w:tentative="0">
      <w:start w:val="1"/>
      <w:numFmt w:val="decimal"/>
      <w:suff w:val="space"/>
      <w:lvlText w:val="%1."/>
      <w:lvlJc w:val="left"/>
    </w:lvl>
  </w:abstractNum>
  <w:abstractNum w:abstractNumId="5">
    <w:nsid w:val="0A72DBF2"/>
    <w:multiLevelType w:val="singleLevel"/>
    <w:tmpl w:val="0A72DBF2"/>
    <w:lvl w:ilvl="0" w:tentative="0">
      <w:start w:val="1"/>
      <w:numFmt w:val="decimal"/>
      <w:suff w:val="space"/>
      <w:lvlText w:val="%1."/>
      <w:lvlJc w:val="left"/>
      <w:pPr>
        <w:ind w:left="425" w:hanging="425"/>
      </w:pPr>
      <w:rPr>
        <w:rFonts w:hint="default" w:ascii="宋体" w:hAnsi="宋体" w:eastAsia="宋体" w:cs="宋体"/>
        <w:sz w:val="24"/>
        <w:szCs w:val="24"/>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ZjhlNzA5MTRhM2VkNzE0OGYyYWNiMjJiNzFiZDcifQ=="/>
  </w:docVars>
  <w:rsids>
    <w:rsidRoot w:val="001602A3"/>
    <w:rsid w:val="001602A3"/>
    <w:rsid w:val="00282F0C"/>
    <w:rsid w:val="00300222"/>
    <w:rsid w:val="004E0863"/>
    <w:rsid w:val="005B3F7B"/>
    <w:rsid w:val="005F65CD"/>
    <w:rsid w:val="007253A2"/>
    <w:rsid w:val="008468A0"/>
    <w:rsid w:val="00C63046"/>
    <w:rsid w:val="016A0439"/>
    <w:rsid w:val="019F0BB1"/>
    <w:rsid w:val="020E6C66"/>
    <w:rsid w:val="025A5EFB"/>
    <w:rsid w:val="03781024"/>
    <w:rsid w:val="03C2062F"/>
    <w:rsid w:val="03FD0073"/>
    <w:rsid w:val="04690759"/>
    <w:rsid w:val="063F19E4"/>
    <w:rsid w:val="076A77D2"/>
    <w:rsid w:val="07A14F2E"/>
    <w:rsid w:val="081E38A5"/>
    <w:rsid w:val="08CE4C91"/>
    <w:rsid w:val="09BB5719"/>
    <w:rsid w:val="09F47D86"/>
    <w:rsid w:val="0A115B4D"/>
    <w:rsid w:val="0B057D70"/>
    <w:rsid w:val="0C374EC3"/>
    <w:rsid w:val="0C474AE5"/>
    <w:rsid w:val="0C822B95"/>
    <w:rsid w:val="0CEA2936"/>
    <w:rsid w:val="0D502ACD"/>
    <w:rsid w:val="0D904304"/>
    <w:rsid w:val="0E6D249A"/>
    <w:rsid w:val="0F7A6F7F"/>
    <w:rsid w:val="10610C6E"/>
    <w:rsid w:val="11104140"/>
    <w:rsid w:val="11244A9C"/>
    <w:rsid w:val="112759E6"/>
    <w:rsid w:val="11472E91"/>
    <w:rsid w:val="115E03F5"/>
    <w:rsid w:val="13707968"/>
    <w:rsid w:val="14352BCC"/>
    <w:rsid w:val="14480E14"/>
    <w:rsid w:val="1457163D"/>
    <w:rsid w:val="146C0AF9"/>
    <w:rsid w:val="148F527B"/>
    <w:rsid w:val="15E57194"/>
    <w:rsid w:val="1618319C"/>
    <w:rsid w:val="16454CB4"/>
    <w:rsid w:val="167A24EB"/>
    <w:rsid w:val="168D3A3C"/>
    <w:rsid w:val="16B0497A"/>
    <w:rsid w:val="16F43498"/>
    <w:rsid w:val="17175BD3"/>
    <w:rsid w:val="177E6CB2"/>
    <w:rsid w:val="18556A76"/>
    <w:rsid w:val="192A37C4"/>
    <w:rsid w:val="199A7C02"/>
    <w:rsid w:val="1ABF5101"/>
    <w:rsid w:val="1BFA56E2"/>
    <w:rsid w:val="1CDD28FB"/>
    <w:rsid w:val="1DB36A9F"/>
    <w:rsid w:val="1E561430"/>
    <w:rsid w:val="1E587E3C"/>
    <w:rsid w:val="1F9E4991"/>
    <w:rsid w:val="20BE537E"/>
    <w:rsid w:val="20EF0353"/>
    <w:rsid w:val="21553291"/>
    <w:rsid w:val="225F1EC6"/>
    <w:rsid w:val="22D12933"/>
    <w:rsid w:val="23965296"/>
    <w:rsid w:val="23A90956"/>
    <w:rsid w:val="23A94B28"/>
    <w:rsid w:val="251A07EE"/>
    <w:rsid w:val="25A24CD1"/>
    <w:rsid w:val="25D80E22"/>
    <w:rsid w:val="2626775A"/>
    <w:rsid w:val="264F4104"/>
    <w:rsid w:val="28AC717A"/>
    <w:rsid w:val="292C74B9"/>
    <w:rsid w:val="295126A7"/>
    <w:rsid w:val="29655789"/>
    <w:rsid w:val="297D67EF"/>
    <w:rsid w:val="29850573"/>
    <w:rsid w:val="29D82DC8"/>
    <w:rsid w:val="2A5909BC"/>
    <w:rsid w:val="2A9C0FF1"/>
    <w:rsid w:val="2ADD4DD2"/>
    <w:rsid w:val="2BA41659"/>
    <w:rsid w:val="2DFC6B6F"/>
    <w:rsid w:val="2E2C2C5F"/>
    <w:rsid w:val="2E2D5E5E"/>
    <w:rsid w:val="2E490762"/>
    <w:rsid w:val="2EF73CF0"/>
    <w:rsid w:val="2F3B687D"/>
    <w:rsid w:val="2FDB53C0"/>
    <w:rsid w:val="302A7FA3"/>
    <w:rsid w:val="32C342B4"/>
    <w:rsid w:val="33B87465"/>
    <w:rsid w:val="34DE5310"/>
    <w:rsid w:val="36010FB1"/>
    <w:rsid w:val="36130291"/>
    <w:rsid w:val="37392FA5"/>
    <w:rsid w:val="37731502"/>
    <w:rsid w:val="38B2304B"/>
    <w:rsid w:val="39690262"/>
    <w:rsid w:val="39D013C6"/>
    <w:rsid w:val="39F5134C"/>
    <w:rsid w:val="3A5C4205"/>
    <w:rsid w:val="3AE159F3"/>
    <w:rsid w:val="3BF75330"/>
    <w:rsid w:val="3C66006D"/>
    <w:rsid w:val="3CB24C77"/>
    <w:rsid w:val="3D12486E"/>
    <w:rsid w:val="3DB1038F"/>
    <w:rsid w:val="3E0553DD"/>
    <w:rsid w:val="3E0C7AC7"/>
    <w:rsid w:val="3E4615BD"/>
    <w:rsid w:val="3E5E330A"/>
    <w:rsid w:val="3F0954C2"/>
    <w:rsid w:val="401D495A"/>
    <w:rsid w:val="4029285A"/>
    <w:rsid w:val="409947AE"/>
    <w:rsid w:val="43503578"/>
    <w:rsid w:val="45383192"/>
    <w:rsid w:val="45955966"/>
    <w:rsid w:val="475D7297"/>
    <w:rsid w:val="47665118"/>
    <w:rsid w:val="48691363"/>
    <w:rsid w:val="4913304B"/>
    <w:rsid w:val="49436F90"/>
    <w:rsid w:val="49985CA2"/>
    <w:rsid w:val="4BDD5511"/>
    <w:rsid w:val="4C577725"/>
    <w:rsid w:val="4D33356F"/>
    <w:rsid w:val="4D9B7C12"/>
    <w:rsid w:val="4D9F3131"/>
    <w:rsid w:val="4E421A69"/>
    <w:rsid w:val="4F373FB4"/>
    <w:rsid w:val="4FE42E22"/>
    <w:rsid w:val="502C6FBE"/>
    <w:rsid w:val="50D21A70"/>
    <w:rsid w:val="51267698"/>
    <w:rsid w:val="52120DCF"/>
    <w:rsid w:val="537C52C4"/>
    <w:rsid w:val="53AB679B"/>
    <w:rsid w:val="53ED1DEE"/>
    <w:rsid w:val="54216F96"/>
    <w:rsid w:val="55B94E3A"/>
    <w:rsid w:val="560518E2"/>
    <w:rsid w:val="56EB388B"/>
    <w:rsid w:val="578D30CB"/>
    <w:rsid w:val="57F9433E"/>
    <w:rsid w:val="59144F85"/>
    <w:rsid w:val="59924049"/>
    <w:rsid w:val="59CA6E91"/>
    <w:rsid w:val="59DE17B8"/>
    <w:rsid w:val="5A7A2F4D"/>
    <w:rsid w:val="5A802901"/>
    <w:rsid w:val="5B327492"/>
    <w:rsid w:val="5B3428DB"/>
    <w:rsid w:val="5B594C0C"/>
    <w:rsid w:val="5BA470D1"/>
    <w:rsid w:val="5CB8097B"/>
    <w:rsid w:val="5CBA7F88"/>
    <w:rsid w:val="5D600B2F"/>
    <w:rsid w:val="5D83481E"/>
    <w:rsid w:val="5DAA52DE"/>
    <w:rsid w:val="5EB1147D"/>
    <w:rsid w:val="5F1E0131"/>
    <w:rsid w:val="5F245C53"/>
    <w:rsid w:val="5F2915CA"/>
    <w:rsid w:val="5F3A715E"/>
    <w:rsid w:val="5F791EBD"/>
    <w:rsid w:val="5F982465"/>
    <w:rsid w:val="5FAF5897"/>
    <w:rsid w:val="611F5ED2"/>
    <w:rsid w:val="614D13CA"/>
    <w:rsid w:val="61EF11AF"/>
    <w:rsid w:val="646860ED"/>
    <w:rsid w:val="64B24D7F"/>
    <w:rsid w:val="658E5B0E"/>
    <w:rsid w:val="670D05E6"/>
    <w:rsid w:val="67A7098F"/>
    <w:rsid w:val="67FA08AC"/>
    <w:rsid w:val="69003B50"/>
    <w:rsid w:val="6A9B5824"/>
    <w:rsid w:val="6AE37C60"/>
    <w:rsid w:val="6B60619E"/>
    <w:rsid w:val="6C7A3290"/>
    <w:rsid w:val="6D6F5DF2"/>
    <w:rsid w:val="6F6B5112"/>
    <w:rsid w:val="6FFA630B"/>
    <w:rsid w:val="6FFD59F6"/>
    <w:rsid w:val="70020662"/>
    <w:rsid w:val="70056C65"/>
    <w:rsid w:val="716C788B"/>
    <w:rsid w:val="72262283"/>
    <w:rsid w:val="72E25198"/>
    <w:rsid w:val="73036BBB"/>
    <w:rsid w:val="733517AB"/>
    <w:rsid w:val="73667F57"/>
    <w:rsid w:val="750758DC"/>
    <w:rsid w:val="75322ABE"/>
    <w:rsid w:val="755A5D33"/>
    <w:rsid w:val="76597CBE"/>
    <w:rsid w:val="766F7295"/>
    <w:rsid w:val="76B50A5A"/>
    <w:rsid w:val="77003A29"/>
    <w:rsid w:val="78A35958"/>
    <w:rsid w:val="78D12489"/>
    <w:rsid w:val="78E8332F"/>
    <w:rsid w:val="794E3255"/>
    <w:rsid w:val="796614CB"/>
    <w:rsid w:val="7AD37F2E"/>
    <w:rsid w:val="7C9E2682"/>
    <w:rsid w:val="7D1816B2"/>
    <w:rsid w:val="7D6C727D"/>
    <w:rsid w:val="7D796C4C"/>
    <w:rsid w:val="7E6F6973"/>
    <w:rsid w:val="7F97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1"/>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1944</Words>
  <Characters>2148</Characters>
  <Lines>15</Lines>
  <Paragraphs>4</Paragraphs>
  <TotalTime>3</TotalTime>
  <ScaleCrop>false</ScaleCrop>
  <LinksUpToDate>false</LinksUpToDate>
  <CharactersWithSpaces>2150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2023-11-17T04:15:00Z</dcterms:created>
  <dc:creator>Administrator</dc:creator>
  <cp:lastModifiedBy>Administrator</cp:lastModifiedBy>
  <dcterms:modified xsi:type="dcterms:W3CDTF">2026-01-24T04:17:35Z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14D29E6E37734D23AA127A33B24B37D0_13</vt:lpwstr>
  </property>
  <property fmtid="{D5CDD505-2E9C-101B-9397-08002B2CF9AE}" pid="4" name="KSOTemplateDocerSaveRecord">
    <vt:lpwstr>eyJoZGlkIjoiNWNlZjhlNzA5MTRhM2VkNzE0OGYyYWNiMjJiNzFiZDciLCJ1c2VySWQiOiIxMjc5MzE3MDQwIn0=</vt:lpwstr>
  </property>
</Properties>
</file>