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0FF6">
      <w:pPr>
        <w:jc w:val="center"/>
        <w:rPr>
          <w:rFonts w:hint="default" w:ascii="仿宋_GB2312" w:hAnsi="仿宋_GB2312" w:eastAsia="仿宋_GB2312" w:cs="仿宋_GB2312"/>
          <w:b/>
          <w:bCs/>
          <w:i w:val="0"/>
          <w:iCs w:val="0"/>
          <w:caps w:val="0"/>
          <w:spacing w:val="0"/>
          <w:kern w:val="2"/>
          <w:sz w:val="36"/>
          <w:szCs w:val="36"/>
          <w:shd w:val="clear"/>
          <w:lang w:val="en-US" w:eastAsia="zh-CN" w:bidi="ar"/>
        </w:rPr>
      </w:pPr>
      <w:r>
        <w:rPr>
          <w:rFonts w:hint="eastAsia" w:ascii="宋体" w:hAnsi="宋体" w:eastAsia="宋体" w:cs="宋体"/>
          <w:b/>
          <w:bCs/>
          <w:sz w:val="36"/>
          <w:szCs w:val="36"/>
          <w:lang w:val="en-US" w:eastAsia="zh-CN"/>
        </w:rPr>
        <w:t>番禺区妇幼保健院及番禺区沙湾人民医院总务科2026年采购代理机构选取</w:t>
      </w:r>
      <w:r>
        <w:rPr>
          <w:rFonts w:hint="eastAsia" w:ascii="宋体" w:hAnsi="宋体" w:cs="宋体"/>
          <w:b/>
          <w:bCs/>
          <w:sz w:val="36"/>
          <w:szCs w:val="36"/>
          <w:lang w:val="en-US" w:eastAsia="zh-CN"/>
        </w:rPr>
        <w:t>需求书</w:t>
      </w:r>
    </w:p>
    <w:p w14:paraId="0CE854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bCs/>
          <w:i w:val="0"/>
          <w:iCs w:val="0"/>
          <w:caps w:val="0"/>
          <w:spacing w:val="0"/>
          <w:kern w:val="2"/>
          <w:sz w:val="32"/>
          <w:szCs w:val="32"/>
          <w:shd w:val="clear"/>
          <w:lang w:val="en-US" w:eastAsia="zh-CN" w:bidi="ar"/>
        </w:rPr>
        <w:t>1.</w:t>
      </w:r>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采购代理机构资格</w:t>
      </w:r>
    </w:p>
    <w:p w14:paraId="590FA8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 基本资格（通用要求）</w:t>
      </w:r>
    </w:p>
    <w:p w14:paraId="0B4B3C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1.1.1 广州市注册独立法人，办公场所与营业执照注册地址须一致。</w:t>
      </w:r>
    </w:p>
    <w:p w14:paraId="7642D0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1.1.2 广东省政府采购网的注册备案采购代理机构。符合《中华人民共和国政府采购法》第二十二条及《财政部关于印发〈政府采购代理机构管理暂行办法〉的通知》（财库〔2018〕2号）规定的条件。</w:t>
      </w:r>
    </w:p>
    <w:p w14:paraId="12783F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1.1.3 提交申请前1年内未被列入“信用中国”网站(www.creditchina.gov.cn)中“记录失信被执行人或重大税收违法案件当事人名单或政府采购严重违法失信行为”记录名单；不处于中国政府采购网（www.ccgp.gov.cn）中“政府采购严重违法失信行为信息记录”“政府采购失信名单”中的禁止参加政府采购活动期间。</w:t>
      </w:r>
    </w:p>
    <w:p w14:paraId="1585A5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1.1.4 承诺合规经营，不转让、分包代理业务，严格遵守国家及医院相关规定。（提供承诺函）</w:t>
      </w:r>
    </w:p>
    <w:p w14:paraId="2040EC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1.1.5 不接受联合体。</w:t>
      </w:r>
    </w:p>
    <w:p w14:paraId="4A6805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1.2 其他要求</w:t>
      </w:r>
    </w:p>
    <w:p w14:paraId="6E4984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1.2.1 具有三级医院采购代理经验、服务团队专业适配、服务方案可行性高、收费合理且能提供优惠的代理机构，在选取时优先考虑。</w:t>
      </w:r>
    </w:p>
    <w:p w14:paraId="0DF3C7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1.2.2 专职采购代理人员不少于5名（其中具有医疗行业项目采购代理经验人员不少于2名）</w:t>
      </w:r>
    </w:p>
    <w:p w14:paraId="788EAA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1.2.3 非政府采购项目的报名费（即采购文件售价）不得高于300元，不得以其他名义收取除代理服务费、报名费（即采购文件售价）以外的费用，一经发现，永久不再接受其参与总务科采购代理机构选取。</w:t>
      </w:r>
    </w:p>
    <w:p w14:paraId="17EF28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bCs/>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2.</w:t>
      </w:r>
      <w:r>
        <w:rPr>
          <w:rFonts w:hint="default" w:ascii="仿宋_GB2312" w:hAnsi="仿宋_GB2312" w:eastAsia="仿宋_GB2312" w:cs="仿宋_GB2312"/>
          <w:b/>
          <w:bCs/>
          <w:i w:val="0"/>
          <w:iCs w:val="0"/>
          <w:caps w:val="0"/>
          <w:color w:val="auto"/>
          <w:spacing w:val="0"/>
          <w:kern w:val="2"/>
          <w:sz w:val="32"/>
          <w:szCs w:val="32"/>
          <w:shd w:val="clear" w:color="auto" w:fill="auto"/>
          <w:lang w:val="en-US" w:eastAsia="zh-CN" w:bidi="ar"/>
        </w:rPr>
        <w:t>选取与试用管理 </w:t>
      </w:r>
    </w:p>
    <w:p w14:paraId="7574CD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 xml:space="preserve">2.1 年度集中选取 </w:t>
      </w:r>
    </w:p>
    <w:p w14:paraId="01D4C3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每年开展1次集中选取工作。通过医院官方网站发布选取公告，公告有效期至选取当年12月31日。</w:t>
      </w:r>
    </w:p>
    <w:p w14:paraId="737406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自第一次公告公示满5个工作日后，按照</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附件1</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采购代理机构选取评分表》</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得分从高至低，择优确定不少于5家采购代理机构纳入年度</w:t>
      </w:r>
      <w:bookmarkStart w:id="0" w:name="_GoBack"/>
      <w:bookmarkEnd w:id="0"/>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候选名单，其中：货物服务类采购代理机构不少于3家，工程类采购代理机构不少于1家，货物服务类和工程类的采购代理机构名单可重复。</w:t>
      </w:r>
    </w:p>
    <w:p w14:paraId="2C0332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2.2 动态增补机制</w:t>
      </w:r>
    </w:p>
    <w:p w14:paraId="7744A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对符合资格、未纳入年度集中选取结果的其他采购代理机构，可在当年公告有效期内，随时按公告要求提交申请资料。</w:t>
      </w:r>
    </w:p>
    <w:p w14:paraId="6C6225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按照《</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附件1</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采购代理机构选取评分表》进行评分，评分结果不低于当年集中选取第五名得分的，按得分从高到低排序，按照实际项目推进情况，安排试用1</w:t>
      </w:r>
      <w:r>
        <w:rPr>
          <w:rFonts w:ascii="Segoe UI" w:hAnsi="Segoe UI" w:eastAsia="Segoe UI" w:cs="Segoe UI"/>
          <w:i w:val="0"/>
          <w:iCs w:val="0"/>
          <w:caps w:val="0"/>
          <w:color w:val="0F1115"/>
          <w:spacing w:val="0"/>
          <w:sz w:val="24"/>
          <w:szCs w:val="24"/>
          <w:shd w:val="clear" w:fill="FFFFFF"/>
        </w:rPr>
        <w:t>~</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2个采购项目。</w:t>
      </w:r>
    </w:p>
    <w:p w14:paraId="451BD2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试用期间实行一项目一评价考核：考核</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达标</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的，即时增补纳入候选名单；考核不</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达标</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的，不予纳入，且当年内不再接受其试用申请。</w:t>
      </w:r>
    </w:p>
    <w:p w14:paraId="72863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bCs/>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 xml:space="preserve">3. </w:t>
      </w:r>
      <w:r>
        <w:rPr>
          <w:rFonts w:hint="default" w:ascii="仿宋_GB2312" w:hAnsi="仿宋_GB2312" w:eastAsia="仿宋_GB2312" w:cs="仿宋_GB2312"/>
          <w:b/>
          <w:bCs/>
          <w:i w:val="0"/>
          <w:iCs w:val="0"/>
          <w:caps w:val="0"/>
          <w:color w:val="auto"/>
          <w:spacing w:val="0"/>
          <w:kern w:val="2"/>
          <w:sz w:val="32"/>
          <w:szCs w:val="32"/>
          <w:shd w:val="clear" w:color="auto" w:fill="auto"/>
          <w:lang w:val="en-US" w:eastAsia="zh-CN" w:bidi="ar"/>
        </w:rPr>
        <w:t>项目委托与服务管理</w:t>
      </w:r>
    </w:p>
    <w:p w14:paraId="0B6CB3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3.1</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项目委托方式</w:t>
      </w:r>
    </w:p>
    <w:p w14:paraId="567055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3.1.1 常规项目（采购预算＜50万元）：按采购代理机构类别实行轮值指派，保障委托机会公平。</w:t>
      </w:r>
    </w:p>
    <w:p w14:paraId="452EF4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3.1.2 重点项目（采购预算≥50万元）：结合采购代理机构资质、业绩、考核结果及服务能力，由选取工作小组择优委托。</w:t>
      </w:r>
    </w:p>
    <w:p w14:paraId="3883AA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3.2</w:t>
      </w:r>
      <w:r>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服务要求：</w:t>
      </w:r>
    </w:p>
    <w:p w14:paraId="4AC750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严格按法律法规及医院要求，按时完成采购文件编制、公告发布、评审组织、结果公示等工作；</w:t>
      </w:r>
    </w:p>
    <w:p w14:paraId="5A7F2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定期汇报项目进展，及时报告重大事项或突发问题；</w:t>
      </w:r>
    </w:p>
    <w:p w14:paraId="2AFFB7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如采购人需要，可提供必要的法律咨询服务或培训服务；</w:t>
      </w:r>
    </w:p>
    <w:p w14:paraId="3DF6A6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项目完成后5个工作日内，移交完整采购档案（含纸质版、电子版）至总务科；</w:t>
      </w:r>
    </w:p>
    <w:p w14:paraId="035387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廉洁从业，不串通舞弊、不收取隐性费用、不泄露涉密信息。</w:t>
      </w:r>
    </w:p>
    <w:p w14:paraId="47600B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4.考核评价管理</w:t>
      </w:r>
    </w:p>
    <w:p w14:paraId="2158D9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4.1 考核机制：实行“一项目一评价”，按照《附件2采购代理机构项目考核评分表》进行考核。</w:t>
      </w:r>
    </w:p>
    <w:p w14:paraId="2F60F5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4.2 考核结果</w:t>
      </w:r>
    </w:p>
    <w:p w14:paraId="1CD232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优秀（≥95分）：后续项目优先指派，优先委托重大项目；</w:t>
      </w:r>
    </w:p>
    <w:p w14:paraId="2D88EF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达标（80-94分）：维持正常合作，针对问题限期整改，减少重大项目委托；</w:t>
      </w:r>
    </w:p>
    <w:p w14:paraId="053B84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不达标（＜80分）：立即减少/暂停委托；连续两次不合格，剔除候选名单，2年内不得参与选取；严重违规、造成医院损失的，永久不再接受其参与总务科采购代理机构选取。</w:t>
      </w:r>
    </w:p>
    <w:p w14:paraId="495C6A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5.监督管理与问责</w:t>
      </w:r>
    </w:p>
    <w:p w14:paraId="1C2C0F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5.1 违规处理：采购代理机构违规的，立即终止合作、追究责任，情节严重的上报监管部门；医院工作人员违规的，依规依纪追责，涉嫌违法的依法移交司法机关。</w:t>
      </w:r>
    </w:p>
    <w:p w14:paraId="0E3B38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p>
    <w:p w14:paraId="75FC848A">
      <w:pP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附件：1、采购代理机构选取评分表</w:t>
      </w:r>
    </w:p>
    <w:p w14:paraId="759C3F6E">
      <w:pPr>
        <w:ind w:firstLine="960" w:firstLineChars="300"/>
        <w:rPr>
          <w:rFonts w:hint="default"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2、采购代理机构项目考核评分表</w:t>
      </w:r>
    </w:p>
    <w:p w14:paraId="3EC2EB5F">
      <w:pPr>
        <w:pStyle w:val="4"/>
        <w:widowControl/>
        <w:kinsoku w:val="0"/>
        <w:autoSpaceDE w:val="0"/>
        <w:autoSpaceDN w:val="0"/>
        <w:adjustRightInd w:val="0"/>
        <w:snapToGrid w:val="0"/>
        <w:spacing w:before="101" w:line="225" w:lineRule="auto"/>
        <w:jc w:val="left"/>
        <w:textAlignment w:val="baseline"/>
        <w:rPr>
          <w:rFonts w:ascii="黑体" w:hAnsi="黑体" w:eastAsia="黑体" w:cs="黑体"/>
          <w:snapToGrid w:val="0"/>
          <w:color w:val="000000"/>
          <w:spacing w:val="8"/>
          <w:kern w:val="0"/>
          <w:sz w:val="31"/>
          <w:szCs w:val="31"/>
          <w:lang w:eastAsia="en-US"/>
        </w:rPr>
      </w:pPr>
    </w:p>
    <w:p w14:paraId="70275BAD">
      <w:pPr>
        <w:pStyle w:val="4"/>
        <w:widowControl/>
        <w:kinsoku w:val="0"/>
        <w:autoSpaceDE w:val="0"/>
        <w:autoSpaceDN w:val="0"/>
        <w:adjustRightInd w:val="0"/>
        <w:snapToGrid w:val="0"/>
        <w:spacing w:before="101" w:line="225" w:lineRule="auto"/>
        <w:jc w:val="left"/>
        <w:textAlignment w:val="baseline"/>
        <w:rPr>
          <w:rFonts w:ascii="黑体" w:hAnsi="黑体" w:eastAsia="黑体" w:cs="黑体"/>
          <w:snapToGrid w:val="0"/>
          <w:color w:val="000000"/>
          <w:spacing w:val="8"/>
          <w:kern w:val="0"/>
          <w:sz w:val="31"/>
          <w:szCs w:val="31"/>
          <w:lang w:eastAsia="en-US"/>
        </w:rPr>
      </w:pPr>
    </w:p>
    <w:p w14:paraId="66FDFE56">
      <w:pPr>
        <w:pStyle w:val="4"/>
        <w:widowControl/>
        <w:kinsoku w:val="0"/>
        <w:autoSpaceDE w:val="0"/>
        <w:autoSpaceDN w:val="0"/>
        <w:adjustRightInd w:val="0"/>
        <w:snapToGrid w:val="0"/>
        <w:spacing w:before="101" w:line="225" w:lineRule="auto"/>
        <w:jc w:val="left"/>
        <w:textAlignment w:val="baseline"/>
        <w:rPr>
          <w:rFonts w:ascii="黑体" w:hAnsi="黑体" w:eastAsia="黑体" w:cs="黑体"/>
          <w:snapToGrid w:val="0"/>
          <w:color w:val="000000"/>
          <w:spacing w:val="8"/>
          <w:kern w:val="0"/>
          <w:sz w:val="31"/>
          <w:szCs w:val="31"/>
          <w:lang w:eastAsia="en-US"/>
        </w:rPr>
      </w:pPr>
    </w:p>
    <w:p w14:paraId="5322631F">
      <w:pP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br w:type="page"/>
      </w:r>
    </w:p>
    <w:p w14:paraId="335372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right="0"/>
        <w:jc w:val="left"/>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附件1采购代理机构选取评分表（总分100分）</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92"/>
        <w:gridCol w:w="1433"/>
        <w:gridCol w:w="6000"/>
        <w:gridCol w:w="927"/>
      </w:tblGrid>
      <w:tr w14:paraId="4D1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92" w:type="dxa"/>
            <w:tcMar>
              <w:top w:w="60" w:type="dxa"/>
              <w:left w:w="120" w:type="dxa"/>
              <w:bottom w:w="30" w:type="dxa"/>
              <w:right w:w="120" w:type="dxa"/>
            </w:tcMar>
          </w:tcPr>
          <w:p w14:paraId="6680A9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评分项目</w:t>
            </w:r>
          </w:p>
        </w:tc>
        <w:tc>
          <w:tcPr>
            <w:tcW w:w="1433" w:type="dxa"/>
            <w:tcMar>
              <w:top w:w="60" w:type="dxa"/>
              <w:left w:w="120" w:type="dxa"/>
              <w:bottom w:w="30" w:type="dxa"/>
              <w:right w:w="120" w:type="dxa"/>
            </w:tcMar>
          </w:tcPr>
          <w:p w14:paraId="292F7A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分值</w:t>
            </w:r>
          </w:p>
        </w:tc>
        <w:tc>
          <w:tcPr>
            <w:tcW w:w="6000" w:type="dxa"/>
            <w:tcMar>
              <w:top w:w="60" w:type="dxa"/>
              <w:left w:w="120" w:type="dxa"/>
              <w:bottom w:w="30" w:type="dxa"/>
              <w:right w:w="120" w:type="dxa"/>
            </w:tcMar>
          </w:tcPr>
          <w:p w14:paraId="5FA3BA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评分标准 (具体细则可结合实际调整)</w:t>
            </w:r>
          </w:p>
        </w:tc>
        <w:tc>
          <w:tcPr>
            <w:tcW w:w="927" w:type="dxa"/>
            <w:tcMar>
              <w:top w:w="60" w:type="dxa"/>
              <w:left w:w="120" w:type="dxa"/>
              <w:bottom w:w="30" w:type="dxa"/>
              <w:right w:w="120" w:type="dxa"/>
            </w:tcMar>
          </w:tcPr>
          <w:p w14:paraId="1334A1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得分</w:t>
            </w:r>
          </w:p>
        </w:tc>
      </w:tr>
      <w:tr w14:paraId="4E4A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92" w:type="dxa"/>
            <w:tcMar>
              <w:top w:w="60" w:type="dxa"/>
              <w:left w:w="120" w:type="dxa"/>
              <w:bottom w:w="30" w:type="dxa"/>
              <w:right w:w="120" w:type="dxa"/>
            </w:tcMar>
          </w:tcPr>
          <w:p w14:paraId="68B821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基本资格与备案</w:t>
            </w:r>
          </w:p>
        </w:tc>
        <w:tc>
          <w:tcPr>
            <w:tcW w:w="1433" w:type="dxa"/>
            <w:tcMar>
              <w:top w:w="60" w:type="dxa"/>
              <w:left w:w="120" w:type="dxa"/>
              <w:bottom w:w="30" w:type="dxa"/>
              <w:right w:w="120" w:type="dxa"/>
            </w:tcMar>
          </w:tcPr>
          <w:p w14:paraId="6726C6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/（任一项不符合的一票否决）</w:t>
            </w:r>
          </w:p>
        </w:tc>
        <w:tc>
          <w:tcPr>
            <w:tcW w:w="6000" w:type="dxa"/>
            <w:tcMar>
              <w:top w:w="60" w:type="dxa"/>
              <w:left w:w="120" w:type="dxa"/>
              <w:bottom w:w="30" w:type="dxa"/>
              <w:right w:w="120" w:type="dxa"/>
            </w:tcMar>
          </w:tcPr>
          <w:p w14:paraId="709A9D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满足第1.1条基本资格（通用要求）。</w:t>
            </w:r>
          </w:p>
        </w:tc>
        <w:tc>
          <w:tcPr>
            <w:tcW w:w="927" w:type="dxa"/>
            <w:tcMar>
              <w:top w:w="60" w:type="dxa"/>
              <w:left w:w="120" w:type="dxa"/>
              <w:bottom w:w="30" w:type="dxa"/>
              <w:right w:w="120" w:type="dxa"/>
            </w:tcMar>
          </w:tcPr>
          <w:p w14:paraId="62B171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171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92" w:type="dxa"/>
            <w:tcMar>
              <w:top w:w="60" w:type="dxa"/>
              <w:left w:w="120" w:type="dxa"/>
              <w:bottom w:w="30" w:type="dxa"/>
              <w:right w:w="120" w:type="dxa"/>
            </w:tcMar>
          </w:tcPr>
          <w:p w14:paraId="50EB1B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服务收费</w:t>
            </w:r>
          </w:p>
        </w:tc>
        <w:tc>
          <w:tcPr>
            <w:tcW w:w="1433" w:type="dxa"/>
            <w:tcMar>
              <w:top w:w="60" w:type="dxa"/>
              <w:left w:w="120" w:type="dxa"/>
              <w:bottom w:w="30" w:type="dxa"/>
              <w:right w:w="120" w:type="dxa"/>
            </w:tcMar>
          </w:tcPr>
          <w:p w14:paraId="436C72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20分</w:t>
            </w:r>
          </w:p>
        </w:tc>
        <w:tc>
          <w:tcPr>
            <w:tcW w:w="6000" w:type="dxa"/>
            <w:tcMar>
              <w:top w:w="60" w:type="dxa"/>
              <w:left w:w="120" w:type="dxa"/>
              <w:bottom w:w="30" w:type="dxa"/>
              <w:right w:w="120" w:type="dxa"/>
            </w:tcMar>
          </w:tcPr>
          <w:p w14:paraId="069BD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申请人受理的采购项目，代理服务费以成交价为基数，参照国家发展计划委印发的（计价格[2002]1980号）、国家发改委印发的（发改办价格[2003]857号）及（发改办价格[2011]534号）文件规定的收费标准计价后：</w:t>
            </w:r>
          </w:p>
          <w:p w14:paraId="77188D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每下浮1%，得2分；下浮10%，则得20分，本项最高得20分（单个采购项目，若经承诺下浮率计算服务费不足3000元的，按3000元收取）。</w:t>
            </w:r>
          </w:p>
        </w:tc>
        <w:tc>
          <w:tcPr>
            <w:tcW w:w="927" w:type="dxa"/>
            <w:tcMar>
              <w:top w:w="60" w:type="dxa"/>
              <w:left w:w="120" w:type="dxa"/>
              <w:bottom w:w="30" w:type="dxa"/>
              <w:right w:w="120" w:type="dxa"/>
            </w:tcMar>
          </w:tcPr>
          <w:p w14:paraId="2E2E58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51AE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92" w:type="dxa"/>
            <w:tcMar>
              <w:top w:w="60" w:type="dxa"/>
              <w:left w:w="120" w:type="dxa"/>
              <w:bottom w:w="30" w:type="dxa"/>
              <w:right w:w="120" w:type="dxa"/>
            </w:tcMar>
          </w:tcPr>
          <w:p w14:paraId="377F6D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业绩要求</w:t>
            </w:r>
          </w:p>
        </w:tc>
        <w:tc>
          <w:tcPr>
            <w:tcW w:w="1433" w:type="dxa"/>
            <w:tcMar>
              <w:top w:w="60" w:type="dxa"/>
              <w:left w:w="120" w:type="dxa"/>
              <w:bottom w:w="30" w:type="dxa"/>
              <w:right w:w="120" w:type="dxa"/>
            </w:tcMar>
          </w:tcPr>
          <w:p w14:paraId="347ED9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20分</w:t>
            </w:r>
          </w:p>
        </w:tc>
        <w:tc>
          <w:tcPr>
            <w:tcW w:w="6000" w:type="dxa"/>
            <w:tcMar>
              <w:top w:w="60" w:type="dxa"/>
              <w:left w:w="120" w:type="dxa"/>
              <w:bottom w:w="30" w:type="dxa"/>
              <w:right w:w="120" w:type="dxa"/>
            </w:tcMar>
          </w:tcPr>
          <w:p w14:paraId="56F7D1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适用货物、服务类项目采购代理机构：提供2023年1月1日至今，由医疗系统机构委托代理货物、服务类项目业绩，每提供一个项目得1分，最高得20分</w:t>
            </w:r>
          </w:p>
          <w:p w14:paraId="6146BD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适用工程类（含施工、设计、监理、咨询类）项目采购代理机构：提供2023年1月1日至今的工程类项目业绩，每提供一个项目得1分，最高得20分</w:t>
            </w:r>
          </w:p>
          <w:p w14:paraId="6816DC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提供中标通知书或采购代理协议书关键页或采购公告网页截图（采购公告网站：第三方采购公告网站或中国政府采购网或广东省政府采购网或广州公共资源交易中心或广东省招标投标监管网）</w:t>
            </w:r>
          </w:p>
        </w:tc>
        <w:tc>
          <w:tcPr>
            <w:tcW w:w="927" w:type="dxa"/>
            <w:tcMar>
              <w:top w:w="60" w:type="dxa"/>
              <w:left w:w="120" w:type="dxa"/>
              <w:bottom w:w="30" w:type="dxa"/>
              <w:right w:w="120" w:type="dxa"/>
            </w:tcMar>
          </w:tcPr>
          <w:p w14:paraId="7CDA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337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0" w:hRule="atLeast"/>
          <w:jc w:val="center"/>
        </w:trPr>
        <w:tc>
          <w:tcPr>
            <w:tcW w:w="1292" w:type="dxa"/>
            <w:tcMar>
              <w:top w:w="60" w:type="dxa"/>
              <w:left w:w="120" w:type="dxa"/>
              <w:bottom w:w="30" w:type="dxa"/>
              <w:right w:w="120" w:type="dxa"/>
            </w:tcMar>
          </w:tcPr>
          <w:p w14:paraId="7148F2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服务团队与能力</w:t>
            </w:r>
          </w:p>
        </w:tc>
        <w:tc>
          <w:tcPr>
            <w:tcW w:w="1433" w:type="dxa"/>
            <w:tcMar>
              <w:top w:w="60" w:type="dxa"/>
              <w:left w:w="120" w:type="dxa"/>
              <w:bottom w:w="30" w:type="dxa"/>
              <w:right w:w="120" w:type="dxa"/>
            </w:tcMar>
          </w:tcPr>
          <w:p w14:paraId="5BD3E5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25分</w:t>
            </w:r>
          </w:p>
        </w:tc>
        <w:tc>
          <w:tcPr>
            <w:tcW w:w="6000" w:type="dxa"/>
            <w:tcMar>
              <w:top w:w="60" w:type="dxa"/>
              <w:left w:w="120" w:type="dxa"/>
              <w:bottom w:w="30" w:type="dxa"/>
              <w:right w:w="120" w:type="dxa"/>
            </w:tcMar>
          </w:tcPr>
          <w:p w14:paraId="5858ED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拟派项目负责人相关要求：</w:t>
            </w:r>
          </w:p>
          <w:p w14:paraId="3E19FA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1.截至2025年12月31日，拟派项目负责人（1人）从事政府采购工作经验2年以上的得5分，5年及以上的得10分；</w:t>
            </w:r>
          </w:p>
          <w:p w14:paraId="336AF4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 截至2025年12月31日，取得中级或以上职称（经济类、工商管理类、工程类），每提供1人得5分，最高得15分。</w:t>
            </w:r>
          </w:p>
          <w:p w14:paraId="79CB8E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提供提交申请前三个月内任意一个月社保证明，职称证书复印件等相关材料加盖公章。</w:t>
            </w:r>
          </w:p>
        </w:tc>
        <w:tc>
          <w:tcPr>
            <w:tcW w:w="927" w:type="dxa"/>
            <w:tcMar>
              <w:top w:w="60" w:type="dxa"/>
              <w:left w:w="120" w:type="dxa"/>
              <w:bottom w:w="30" w:type="dxa"/>
              <w:right w:w="120" w:type="dxa"/>
            </w:tcMar>
          </w:tcPr>
          <w:p w14:paraId="25A3DB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23BE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5" w:hRule="atLeast"/>
          <w:jc w:val="center"/>
        </w:trPr>
        <w:tc>
          <w:tcPr>
            <w:tcW w:w="1292" w:type="dxa"/>
            <w:tcMar>
              <w:top w:w="60" w:type="dxa"/>
              <w:left w:w="120" w:type="dxa"/>
              <w:bottom w:w="30" w:type="dxa"/>
              <w:right w:w="120" w:type="dxa"/>
            </w:tcMar>
          </w:tcPr>
          <w:p w14:paraId="3C6C2B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采购代理服务方案</w:t>
            </w:r>
          </w:p>
        </w:tc>
        <w:tc>
          <w:tcPr>
            <w:tcW w:w="1433" w:type="dxa"/>
            <w:tcMar>
              <w:top w:w="60" w:type="dxa"/>
              <w:left w:w="120" w:type="dxa"/>
              <w:bottom w:w="30" w:type="dxa"/>
              <w:right w:w="120" w:type="dxa"/>
            </w:tcMar>
          </w:tcPr>
          <w:p w14:paraId="100BB4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25分</w:t>
            </w:r>
          </w:p>
        </w:tc>
        <w:tc>
          <w:tcPr>
            <w:tcW w:w="6000" w:type="dxa"/>
            <w:tcMar>
              <w:top w:w="60" w:type="dxa"/>
              <w:left w:w="120" w:type="dxa"/>
              <w:bottom w:w="30" w:type="dxa"/>
              <w:right w:w="120" w:type="dxa"/>
            </w:tcMar>
          </w:tcPr>
          <w:p w14:paraId="585A2C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根据采购代理服务方案及时间计划表的完整性、合理性、科学性、可操作性等进行评审（方案包括采购全流程咨询服务，法律服务，采购响应时间，是否提供采购培训等）：</w:t>
            </w:r>
          </w:p>
          <w:p w14:paraId="1AF808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1.提供的方案完整、清晰、具体，科学合理，服务响应优于服务要求，得25分；</w:t>
            </w:r>
          </w:p>
          <w:p w14:paraId="5E1CEA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2.提供的方案较完善、具体，服务响应基本符合服务要求，得15分；</w:t>
            </w:r>
          </w:p>
          <w:p w14:paraId="496DBC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3.提供的方案不完善、不具体，服务响应未完全符合服务要求，得5分；</w:t>
            </w:r>
          </w:p>
          <w:p w14:paraId="5D5571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4.未提供或其他情况，不得分。</w:t>
            </w:r>
          </w:p>
        </w:tc>
        <w:tc>
          <w:tcPr>
            <w:tcW w:w="927" w:type="dxa"/>
            <w:tcMar>
              <w:top w:w="60" w:type="dxa"/>
              <w:left w:w="120" w:type="dxa"/>
              <w:bottom w:w="30" w:type="dxa"/>
              <w:right w:w="120" w:type="dxa"/>
            </w:tcMar>
          </w:tcPr>
          <w:p w14:paraId="73E3CC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3F57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92" w:type="dxa"/>
            <w:tcMar>
              <w:top w:w="60" w:type="dxa"/>
              <w:left w:w="120" w:type="dxa"/>
              <w:bottom w:w="30" w:type="dxa"/>
              <w:right w:w="120" w:type="dxa"/>
            </w:tcMar>
          </w:tcPr>
          <w:p w14:paraId="731B75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处理询问、质疑、投诉能力</w:t>
            </w:r>
          </w:p>
        </w:tc>
        <w:tc>
          <w:tcPr>
            <w:tcW w:w="1433" w:type="dxa"/>
            <w:tcMar>
              <w:top w:w="60" w:type="dxa"/>
              <w:left w:w="120" w:type="dxa"/>
              <w:bottom w:w="30" w:type="dxa"/>
              <w:right w:w="120" w:type="dxa"/>
            </w:tcMar>
          </w:tcPr>
          <w:p w14:paraId="37BD17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10分</w:t>
            </w:r>
          </w:p>
        </w:tc>
        <w:tc>
          <w:tcPr>
            <w:tcW w:w="6000" w:type="dxa"/>
            <w:tcMar>
              <w:top w:w="60" w:type="dxa"/>
              <w:left w:w="120" w:type="dxa"/>
              <w:bottom w:w="30" w:type="dxa"/>
              <w:right w:w="120" w:type="dxa"/>
            </w:tcMar>
          </w:tcPr>
          <w:p w14:paraId="6F9AE7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根据采购代理机构提供的质疑、投诉处理方案的完整性、合理性、科学性、可操作性等进行评审：</w:t>
            </w:r>
          </w:p>
          <w:p w14:paraId="16FE5B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1.质疑、投诉处理方案科学合理，可操作性强得10分；</w:t>
            </w:r>
          </w:p>
          <w:p w14:paraId="721DF8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2.质疑、投诉处理方案比较合理，可操作性一般得6分；</w:t>
            </w:r>
          </w:p>
          <w:p w14:paraId="324CE3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3.质疑、投诉处理方案不够详细，可操作性较差得3分；</w:t>
            </w:r>
          </w:p>
          <w:p w14:paraId="4974AA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4.未提供或其他情况，不得分。</w:t>
            </w:r>
          </w:p>
        </w:tc>
        <w:tc>
          <w:tcPr>
            <w:tcW w:w="927" w:type="dxa"/>
            <w:tcMar>
              <w:top w:w="60" w:type="dxa"/>
              <w:left w:w="120" w:type="dxa"/>
              <w:bottom w:w="30" w:type="dxa"/>
              <w:right w:w="120" w:type="dxa"/>
            </w:tcMar>
          </w:tcPr>
          <w:p w14:paraId="763BC7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bl>
    <w:p w14:paraId="6460A6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p>
    <w:p w14:paraId="2C9237A1">
      <w:pP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br w:type="page"/>
      </w:r>
    </w:p>
    <w:p w14:paraId="1A767D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right="0"/>
        <w:jc w:val="left"/>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shd w:val="clear" w:color="auto" w:fill="auto"/>
          <w:lang w:val="en-US" w:eastAsia="zh-CN" w:bidi="ar"/>
        </w:rPr>
        <w:t>附件2采购代理机构项目考核评分表（总分100分）</w:t>
      </w:r>
    </w:p>
    <w:tbl>
      <w:tblPr>
        <w:tblStyle w:val="7"/>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37"/>
        <w:gridCol w:w="842"/>
        <w:gridCol w:w="6692"/>
        <w:gridCol w:w="871"/>
      </w:tblGrid>
      <w:tr w14:paraId="3A06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tcMar>
              <w:top w:w="60" w:type="dxa"/>
              <w:left w:w="120" w:type="dxa"/>
              <w:bottom w:w="30" w:type="dxa"/>
              <w:right w:w="120" w:type="dxa"/>
            </w:tcMar>
          </w:tcPr>
          <w:p w14:paraId="410019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cente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评分项目</w:t>
            </w:r>
          </w:p>
        </w:tc>
        <w:tc>
          <w:tcPr>
            <w:tcW w:w="842" w:type="dxa"/>
            <w:tcMar>
              <w:top w:w="60" w:type="dxa"/>
              <w:left w:w="120" w:type="dxa"/>
              <w:bottom w:w="30" w:type="dxa"/>
              <w:right w:w="120" w:type="dxa"/>
            </w:tcMar>
          </w:tcPr>
          <w:p w14:paraId="351466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cente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分值</w:t>
            </w:r>
          </w:p>
        </w:tc>
        <w:tc>
          <w:tcPr>
            <w:tcW w:w="6692" w:type="dxa"/>
            <w:tcMar>
              <w:top w:w="60" w:type="dxa"/>
              <w:left w:w="120" w:type="dxa"/>
              <w:bottom w:w="30" w:type="dxa"/>
              <w:right w:w="120" w:type="dxa"/>
            </w:tcMar>
          </w:tcPr>
          <w:p w14:paraId="25E154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cente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评分标准</w:t>
            </w:r>
          </w:p>
        </w:tc>
        <w:tc>
          <w:tcPr>
            <w:tcW w:w="871" w:type="dxa"/>
            <w:tcMar>
              <w:top w:w="60" w:type="dxa"/>
              <w:left w:w="120" w:type="dxa"/>
              <w:bottom w:w="30" w:type="dxa"/>
              <w:right w:w="120" w:type="dxa"/>
            </w:tcMar>
          </w:tcPr>
          <w:p w14:paraId="75DF78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cente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得分</w:t>
            </w:r>
          </w:p>
        </w:tc>
      </w:tr>
      <w:tr w14:paraId="321D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tcMar>
              <w:top w:w="60" w:type="dxa"/>
              <w:left w:w="120" w:type="dxa"/>
              <w:bottom w:w="30" w:type="dxa"/>
              <w:right w:w="120" w:type="dxa"/>
            </w:tcMar>
          </w:tcPr>
          <w:p w14:paraId="60D73B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采购文件编制质量</w:t>
            </w:r>
          </w:p>
        </w:tc>
        <w:tc>
          <w:tcPr>
            <w:tcW w:w="842" w:type="dxa"/>
            <w:tcMar>
              <w:top w:w="60" w:type="dxa"/>
              <w:left w:w="120" w:type="dxa"/>
              <w:bottom w:w="30" w:type="dxa"/>
              <w:right w:w="120" w:type="dxa"/>
            </w:tcMar>
          </w:tcPr>
          <w:p w14:paraId="2E7801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5分</w:t>
            </w:r>
          </w:p>
        </w:tc>
        <w:tc>
          <w:tcPr>
            <w:tcW w:w="6692" w:type="dxa"/>
            <w:tcMar>
              <w:top w:w="60" w:type="dxa"/>
              <w:left w:w="120" w:type="dxa"/>
              <w:bottom w:w="30" w:type="dxa"/>
              <w:right w:w="120" w:type="dxa"/>
            </w:tcMar>
          </w:tcPr>
          <w:p w14:paraId="0629A4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采购文件编制规范准确、无违规条款得5分，出现瑕疵视影响严重程度扣1-5分，扣完为止。</w:t>
            </w:r>
          </w:p>
        </w:tc>
        <w:tc>
          <w:tcPr>
            <w:tcW w:w="871" w:type="dxa"/>
            <w:tcMar>
              <w:top w:w="60" w:type="dxa"/>
              <w:left w:w="120" w:type="dxa"/>
              <w:bottom w:w="30" w:type="dxa"/>
              <w:right w:w="120" w:type="dxa"/>
            </w:tcMar>
          </w:tcPr>
          <w:p w14:paraId="6B9BE8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7370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 w:hRule="atLeast"/>
          <w:jc w:val="center"/>
        </w:trPr>
        <w:tc>
          <w:tcPr>
            <w:tcW w:w="1237" w:type="dxa"/>
            <w:tcMar>
              <w:top w:w="60" w:type="dxa"/>
              <w:left w:w="120" w:type="dxa"/>
              <w:bottom w:w="30" w:type="dxa"/>
              <w:right w:w="120" w:type="dxa"/>
            </w:tcMar>
          </w:tcPr>
          <w:p w14:paraId="60CECA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评审组织能力</w:t>
            </w:r>
          </w:p>
        </w:tc>
        <w:tc>
          <w:tcPr>
            <w:tcW w:w="842" w:type="dxa"/>
            <w:tcMar>
              <w:top w:w="60" w:type="dxa"/>
              <w:left w:w="120" w:type="dxa"/>
              <w:bottom w:w="30" w:type="dxa"/>
              <w:right w:w="120" w:type="dxa"/>
            </w:tcMar>
          </w:tcPr>
          <w:p w14:paraId="17F1CF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3分</w:t>
            </w:r>
          </w:p>
        </w:tc>
        <w:tc>
          <w:tcPr>
            <w:tcW w:w="6692" w:type="dxa"/>
            <w:tcMar>
              <w:top w:w="60" w:type="dxa"/>
              <w:left w:w="120" w:type="dxa"/>
              <w:bottom w:w="30" w:type="dxa"/>
              <w:right w:w="120" w:type="dxa"/>
            </w:tcMar>
          </w:tcPr>
          <w:p w14:paraId="0AF184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评审流程合规，现场秩序良好，资料准备齐全得3分。记录不完整或流程不规范，扣1-3分。</w:t>
            </w:r>
          </w:p>
        </w:tc>
        <w:tc>
          <w:tcPr>
            <w:tcW w:w="871" w:type="dxa"/>
            <w:tcMar>
              <w:top w:w="60" w:type="dxa"/>
              <w:left w:w="120" w:type="dxa"/>
              <w:bottom w:w="30" w:type="dxa"/>
              <w:right w:w="120" w:type="dxa"/>
            </w:tcMar>
          </w:tcPr>
          <w:p w14:paraId="0250BF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502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shd w:val="clear" w:color="auto" w:fill="auto"/>
            <w:tcMar>
              <w:top w:w="60" w:type="dxa"/>
              <w:left w:w="120" w:type="dxa"/>
              <w:bottom w:w="30" w:type="dxa"/>
              <w:right w:w="120" w:type="dxa"/>
            </w:tcMar>
            <w:vAlign w:val="top"/>
          </w:tcPr>
          <w:p w14:paraId="75023A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工作效率</w:t>
            </w:r>
          </w:p>
        </w:tc>
        <w:tc>
          <w:tcPr>
            <w:tcW w:w="842" w:type="dxa"/>
            <w:shd w:val="clear" w:color="auto" w:fill="auto"/>
            <w:tcMar>
              <w:top w:w="60" w:type="dxa"/>
              <w:left w:w="120" w:type="dxa"/>
              <w:bottom w:w="30" w:type="dxa"/>
              <w:right w:w="120" w:type="dxa"/>
            </w:tcMar>
            <w:vAlign w:val="top"/>
          </w:tcPr>
          <w:p w14:paraId="458280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10分</w:t>
            </w:r>
          </w:p>
        </w:tc>
        <w:tc>
          <w:tcPr>
            <w:tcW w:w="6692" w:type="dxa"/>
            <w:shd w:val="clear" w:color="auto" w:fill="auto"/>
            <w:tcMar>
              <w:top w:w="60" w:type="dxa"/>
              <w:left w:w="120" w:type="dxa"/>
              <w:bottom w:w="30" w:type="dxa"/>
              <w:right w:w="120" w:type="dxa"/>
            </w:tcMar>
            <w:vAlign w:val="top"/>
          </w:tcPr>
          <w:p w14:paraId="0A08C4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按约定时限完成各项工作得10分，每无故延期1个工作日扣2分，严重延期（超过约定时限50%）此项不得分。</w:t>
            </w:r>
          </w:p>
        </w:tc>
        <w:tc>
          <w:tcPr>
            <w:tcW w:w="871" w:type="dxa"/>
            <w:shd w:val="clear" w:color="auto" w:fill="auto"/>
            <w:tcMar>
              <w:top w:w="60" w:type="dxa"/>
              <w:left w:w="120" w:type="dxa"/>
              <w:bottom w:w="30" w:type="dxa"/>
              <w:right w:w="120" w:type="dxa"/>
            </w:tcMar>
            <w:vAlign w:val="top"/>
          </w:tcPr>
          <w:p w14:paraId="5D1673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235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tcMar>
              <w:top w:w="60" w:type="dxa"/>
              <w:left w:w="120" w:type="dxa"/>
              <w:bottom w:w="30" w:type="dxa"/>
              <w:right w:w="120" w:type="dxa"/>
            </w:tcMar>
          </w:tcPr>
          <w:p w14:paraId="303DA3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质疑投诉处理</w:t>
            </w:r>
          </w:p>
        </w:tc>
        <w:tc>
          <w:tcPr>
            <w:tcW w:w="842" w:type="dxa"/>
            <w:tcMar>
              <w:top w:w="60" w:type="dxa"/>
              <w:left w:w="120" w:type="dxa"/>
              <w:bottom w:w="30" w:type="dxa"/>
              <w:right w:w="120" w:type="dxa"/>
            </w:tcMar>
          </w:tcPr>
          <w:p w14:paraId="4CD29F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20分</w:t>
            </w:r>
          </w:p>
        </w:tc>
        <w:tc>
          <w:tcPr>
            <w:tcW w:w="6692" w:type="dxa"/>
            <w:tcMar>
              <w:top w:w="60" w:type="dxa"/>
              <w:left w:w="120" w:type="dxa"/>
              <w:bottom w:w="30" w:type="dxa"/>
              <w:right w:w="120" w:type="dxa"/>
            </w:tcMar>
          </w:tcPr>
          <w:p w14:paraId="317815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能妥善处理质疑投诉、未导致项目失败或行政处罚，得20分。未妥善处理的，视情节严重程度扣5-20分。</w:t>
            </w:r>
          </w:p>
        </w:tc>
        <w:tc>
          <w:tcPr>
            <w:tcW w:w="871" w:type="dxa"/>
            <w:tcMar>
              <w:top w:w="60" w:type="dxa"/>
              <w:left w:w="120" w:type="dxa"/>
              <w:bottom w:w="30" w:type="dxa"/>
              <w:right w:w="120" w:type="dxa"/>
            </w:tcMar>
          </w:tcPr>
          <w:p w14:paraId="31F2F6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72C4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37" w:type="dxa"/>
            <w:tcMar>
              <w:top w:w="60" w:type="dxa"/>
              <w:left w:w="120" w:type="dxa"/>
              <w:bottom w:w="30" w:type="dxa"/>
              <w:right w:w="120" w:type="dxa"/>
            </w:tcMar>
          </w:tcPr>
          <w:p w14:paraId="7C07A7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客户满意度</w:t>
            </w:r>
          </w:p>
        </w:tc>
        <w:tc>
          <w:tcPr>
            <w:tcW w:w="842" w:type="dxa"/>
            <w:tcMar>
              <w:top w:w="60" w:type="dxa"/>
              <w:left w:w="120" w:type="dxa"/>
              <w:bottom w:w="30" w:type="dxa"/>
              <w:right w:w="120" w:type="dxa"/>
            </w:tcMar>
          </w:tcPr>
          <w:p w14:paraId="46D68A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30分</w:t>
            </w:r>
          </w:p>
        </w:tc>
        <w:tc>
          <w:tcPr>
            <w:tcW w:w="6692" w:type="dxa"/>
            <w:tcMar>
              <w:top w:w="60" w:type="dxa"/>
              <w:left w:w="120" w:type="dxa"/>
              <w:bottom w:w="30" w:type="dxa"/>
              <w:right w:w="120" w:type="dxa"/>
            </w:tcMar>
          </w:tcPr>
          <w:p w14:paraId="520133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1.准确领会项目整体需求，能提供前沿知识和同类项目经验，特别对于重点项目有效帮助委托人落实采购需求，提出切实有效的建议，经相关部门评价优秀，得30分；</w:t>
            </w:r>
          </w:p>
          <w:p w14:paraId="4B90D2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2.理解项目整体需求，对于重点项目能提出有效建议，经相关部门评价良好，得20分；</w:t>
            </w:r>
          </w:p>
          <w:p w14:paraId="25C7D8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3.落实项目整体需求，正常完成项目采购，经部门评价一般，得10分；</w:t>
            </w:r>
          </w:p>
          <w:p w14:paraId="23E436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4.因采购代理机构原因导致项目采购失败，不得分；</w:t>
            </w:r>
          </w:p>
        </w:tc>
        <w:tc>
          <w:tcPr>
            <w:tcW w:w="871" w:type="dxa"/>
            <w:tcMar>
              <w:top w:w="60" w:type="dxa"/>
              <w:left w:w="120" w:type="dxa"/>
              <w:bottom w:w="30" w:type="dxa"/>
              <w:right w:w="120" w:type="dxa"/>
            </w:tcMar>
          </w:tcPr>
          <w:p w14:paraId="6A5BE9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3F8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7" w:hRule="atLeast"/>
          <w:jc w:val="center"/>
        </w:trPr>
        <w:tc>
          <w:tcPr>
            <w:tcW w:w="1237" w:type="dxa"/>
            <w:tcMar>
              <w:top w:w="60" w:type="dxa"/>
              <w:left w:w="120" w:type="dxa"/>
              <w:bottom w:w="30" w:type="dxa"/>
              <w:right w:w="120" w:type="dxa"/>
            </w:tcMar>
          </w:tcPr>
          <w:p w14:paraId="2BFE71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沟通效率</w:t>
            </w:r>
          </w:p>
        </w:tc>
        <w:tc>
          <w:tcPr>
            <w:tcW w:w="842" w:type="dxa"/>
            <w:tcMar>
              <w:top w:w="60" w:type="dxa"/>
              <w:left w:w="120" w:type="dxa"/>
              <w:bottom w:w="30" w:type="dxa"/>
              <w:right w:w="120" w:type="dxa"/>
            </w:tcMar>
          </w:tcPr>
          <w:p w14:paraId="4C7DED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20分</w:t>
            </w:r>
          </w:p>
        </w:tc>
        <w:tc>
          <w:tcPr>
            <w:tcW w:w="6692" w:type="dxa"/>
            <w:tcMar>
              <w:top w:w="60" w:type="dxa"/>
              <w:left w:w="120" w:type="dxa"/>
              <w:bottom w:w="30" w:type="dxa"/>
              <w:right w:w="120" w:type="dxa"/>
            </w:tcMar>
          </w:tcPr>
          <w:p w14:paraId="13C888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1.沟通高效、主动汇报项目进展、提示市场风险并切实消除采购风险，得20分；</w:t>
            </w:r>
          </w:p>
          <w:p w14:paraId="339C20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2.沟通顺畅、反馈速度和回复质量良好，得15分；</w:t>
            </w:r>
          </w:p>
          <w:p w14:paraId="3935D1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3.沟通正常、反馈速度和回复质量一般，需要反复确认的，得10分；</w:t>
            </w:r>
          </w:p>
          <w:p w14:paraId="7B2FC2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4.被动沟通、未提醒关键节点、信息滞后，得5分；</w:t>
            </w: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br w:type="textWrapping"/>
            </w: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5.沟通</w:t>
            </w: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迟缓、</w:t>
            </w: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未提供有效建议、</w:t>
            </w: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推诿</w:t>
            </w: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责任不得分。</w:t>
            </w:r>
          </w:p>
        </w:tc>
        <w:tc>
          <w:tcPr>
            <w:tcW w:w="871" w:type="dxa"/>
            <w:tcMar>
              <w:top w:w="60" w:type="dxa"/>
              <w:left w:w="120" w:type="dxa"/>
              <w:bottom w:w="30" w:type="dxa"/>
              <w:right w:w="120" w:type="dxa"/>
            </w:tcMar>
          </w:tcPr>
          <w:p w14:paraId="227969A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79EA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tcMar>
              <w:top w:w="60" w:type="dxa"/>
              <w:left w:w="120" w:type="dxa"/>
              <w:bottom w:w="30" w:type="dxa"/>
              <w:right w:w="120" w:type="dxa"/>
            </w:tcMar>
          </w:tcPr>
          <w:p w14:paraId="4DE47A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廉洁与配合度</w:t>
            </w:r>
          </w:p>
        </w:tc>
        <w:tc>
          <w:tcPr>
            <w:tcW w:w="842" w:type="dxa"/>
            <w:tcMar>
              <w:top w:w="60" w:type="dxa"/>
              <w:left w:w="120" w:type="dxa"/>
              <w:bottom w:w="30" w:type="dxa"/>
              <w:right w:w="120" w:type="dxa"/>
            </w:tcMar>
          </w:tcPr>
          <w:p w14:paraId="6073E2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10分</w:t>
            </w:r>
          </w:p>
        </w:tc>
        <w:tc>
          <w:tcPr>
            <w:tcW w:w="6692" w:type="dxa"/>
            <w:tcMar>
              <w:top w:w="60" w:type="dxa"/>
              <w:left w:w="120" w:type="dxa"/>
              <w:bottom w:w="30" w:type="dxa"/>
              <w:right w:w="120" w:type="dxa"/>
            </w:tcMar>
          </w:tcPr>
          <w:p w14:paraId="5801A0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廉洁从业、积极配合医院监督考核及整改得10分。出现廉洁违规或配合不力视情节影响程度扣1-10分。</w:t>
            </w:r>
          </w:p>
        </w:tc>
        <w:tc>
          <w:tcPr>
            <w:tcW w:w="871" w:type="dxa"/>
            <w:tcMar>
              <w:top w:w="60" w:type="dxa"/>
              <w:left w:w="120" w:type="dxa"/>
              <w:bottom w:w="30" w:type="dxa"/>
              <w:right w:w="120" w:type="dxa"/>
            </w:tcMar>
          </w:tcPr>
          <w:p w14:paraId="6B04B1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r w14:paraId="379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37" w:type="dxa"/>
            <w:tcMar>
              <w:top w:w="60" w:type="dxa"/>
              <w:left w:w="120" w:type="dxa"/>
              <w:bottom w:w="30" w:type="dxa"/>
              <w:right w:w="120" w:type="dxa"/>
            </w:tcMar>
          </w:tcPr>
          <w:p w14:paraId="546A62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档案移交</w:t>
            </w:r>
          </w:p>
        </w:tc>
        <w:tc>
          <w:tcPr>
            <w:tcW w:w="842" w:type="dxa"/>
            <w:tcMar>
              <w:top w:w="60" w:type="dxa"/>
              <w:left w:w="120" w:type="dxa"/>
              <w:bottom w:w="30" w:type="dxa"/>
              <w:right w:w="120" w:type="dxa"/>
            </w:tcMar>
          </w:tcPr>
          <w:p w14:paraId="1DAB9E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2分</w:t>
            </w:r>
          </w:p>
        </w:tc>
        <w:tc>
          <w:tcPr>
            <w:tcW w:w="6692" w:type="dxa"/>
            <w:tcMar>
              <w:top w:w="60" w:type="dxa"/>
              <w:left w:w="120" w:type="dxa"/>
              <w:bottom w:w="30" w:type="dxa"/>
              <w:right w:w="120" w:type="dxa"/>
            </w:tcMar>
          </w:tcPr>
          <w:p w14:paraId="714336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项目档案资料齐全、目录清晰、按规定时间移交</w:t>
            </w: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得2分</w:t>
            </w: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。缺失或延迟移交视情况扣1-</w:t>
            </w:r>
            <w:r>
              <w:rPr>
                <w:rFonts w:hint="eastAsia"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2</w:t>
            </w:r>
            <w:r>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t>分。</w:t>
            </w:r>
          </w:p>
        </w:tc>
        <w:tc>
          <w:tcPr>
            <w:tcW w:w="871" w:type="dxa"/>
            <w:tcMar>
              <w:top w:w="60" w:type="dxa"/>
              <w:left w:w="120" w:type="dxa"/>
              <w:bottom w:w="30" w:type="dxa"/>
              <w:right w:w="120" w:type="dxa"/>
            </w:tcMar>
          </w:tcPr>
          <w:p w14:paraId="12B75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jc w:val="left"/>
              <w:rPr>
                <w:rFonts w:hint="default" w:ascii="仿宋_GB2312" w:hAnsi="仿宋_GB2312" w:eastAsia="仿宋_GB2312" w:cs="仿宋_GB2312"/>
                <w:b w:val="0"/>
                <w:bCs w:val="0"/>
                <w:i w:val="0"/>
                <w:iCs w:val="0"/>
                <w:caps w:val="0"/>
                <w:color w:val="auto"/>
                <w:spacing w:val="0"/>
                <w:kern w:val="2"/>
                <w:sz w:val="24"/>
                <w:szCs w:val="24"/>
                <w:shd w:val="clear" w:color="auto" w:fill="auto"/>
                <w:lang w:val="en-US" w:eastAsia="zh-CN" w:bidi="ar"/>
              </w:rPr>
            </w:pPr>
          </w:p>
        </w:tc>
      </w:tr>
    </w:tbl>
    <w:p w14:paraId="6BF50143">
      <w:pPr>
        <w:rPr>
          <w:rFonts w:hint="default" w:ascii="黑体" w:hAnsi="黑体" w:eastAsia="黑体" w:cs="黑体"/>
          <w:snapToGrid w:val="0"/>
          <w:color w:val="000000"/>
          <w:spacing w:val="8"/>
          <w:kern w:val="0"/>
          <w:sz w:val="31"/>
          <w:szCs w:val="31"/>
          <w:lang w:val="en-US" w:eastAsia="en-US"/>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公文小标宋简">
    <w:altName w:val="Arial Unicode MS"/>
    <w:panose1 w:val="0201060901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1FF"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OTAwOGFhM2E0Y2E3OTA0MGM3YWUzNjYxYThiYWYifQ=="/>
    <w:docVar w:name="KGWebUrl" w:val="http://wxcu.hxjnyy.com:11111/seeyon/kgOfficeServlet?tolen=fb6e469e4424709e9f5f0a73c3983c82&amp;tko=KINGGRID_JSAPI&amp;m=s"/>
  </w:docVars>
  <w:rsids>
    <w:rsidRoot w:val="5B2B3E13"/>
    <w:rsid w:val="00B63099"/>
    <w:rsid w:val="0116146C"/>
    <w:rsid w:val="02E57F12"/>
    <w:rsid w:val="038720C2"/>
    <w:rsid w:val="040824AC"/>
    <w:rsid w:val="04586951"/>
    <w:rsid w:val="07126147"/>
    <w:rsid w:val="07A93CA1"/>
    <w:rsid w:val="09F2225F"/>
    <w:rsid w:val="0B987778"/>
    <w:rsid w:val="0BA13F3D"/>
    <w:rsid w:val="0C1741FF"/>
    <w:rsid w:val="0C605BA6"/>
    <w:rsid w:val="0C684A5B"/>
    <w:rsid w:val="0C8C699B"/>
    <w:rsid w:val="0D6172F9"/>
    <w:rsid w:val="0E2844A2"/>
    <w:rsid w:val="0FC621C4"/>
    <w:rsid w:val="106D2640"/>
    <w:rsid w:val="106D36EE"/>
    <w:rsid w:val="10D426BF"/>
    <w:rsid w:val="10FC4F6D"/>
    <w:rsid w:val="120D509D"/>
    <w:rsid w:val="130F5C30"/>
    <w:rsid w:val="135E2714"/>
    <w:rsid w:val="139934E1"/>
    <w:rsid w:val="14292D22"/>
    <w:rsid w:val="14995F03"/>
    <w:rsid w:val="180C0990"/>
    <w:rsid w:val="18C33745"/>
    <w:rsid w:val="1936761C"/>
    <w:rsid w:val="19B25567"/>
    <w:rsid w:val="1A09162B"/>
    <w:rsid w:val="1AE96C61"/>
    <w:rsid w:val="1D4A25A4"/>
    <w:rsid w:val="1D505474"/>
    <w:rsid w:val="1DAB47A7"/>
    <w:rsid w:val="1DF20628"/>
    <w:rsid w:val="1E1F6695"/>
    <w:rsid w:val="1F5C3FAB"/>
    <w:rsid w:val="20C52024"/>
    <w:rsid w:val="20C932CD"/>
    <w:rsid w:val="20D16ECC"/>
    <w:rsid w:val="229D5007"/>
    <w:rsid w:val="22CE5384"/>
    <w:rsid w:val="23230FEE"/>
    <w:rsid w:val="24003B90"/>
    <w:rsid w:val="2466767A"/>
    <w:rsid w:val="2480698E"/>
    <w:rsid w:val="253A4D8F"/>
    <w:rsid w:val="25414370"/>
    <w:rsid w:val="256E2C8A"/>
    <w:rsid w:val="25AC54EB"/>
    <w:rsid w:val="267E514F"/>
    <w:rsid w:val="29347D47"/>
    <w:rsid w:val="29F6324E"/>
    <w:rsid w:val="2A536793"/>
    <w:rsid w:val="2A946CEF"/>
    <w:rsid w:val="2A9B2C78"/>
    <w:rsid w:val="2C6426F1"/>
    <w:rsid w:val="2C9F7BCD"/>
    <w:rsid w:val="2CC03821"/>
    <w:rsid w:val="2F0F103A"/>
    <w:rsid w:val="30DA7426"/>
    <w:rsid w:val="328650F5"/>
    <w:rsid w:val="34615CA5"/>
    <w:rsid w:val="34C14146"/>
    <w:rsid w:val="34CC3725"/>
    <w:rsid w:val="36575E71"/>
    <w:rsid w:val="36E0506A"/>
    <w:rsid w:val="371B2546"/>
    <w:rsid w:val="373E5FA1"/>
    <w:rsid w:val="37EC3620"/>
    <w:rsid w:val="382C4A0B"/>
    <w:rsid w:val="385C2E16"/>
    <w:rsid w:val="388365F5"/>
    <w:rsid w:val="38861649"/>
    <w:rsid w:val="3A8A3C6B"/>
    <w:rsid w:val="3AFD268F"/>
    <w:rsid w:val="3B95238C"/>
    <w:rsid w:val="3B99218B"/>
    <w:rsid w:val="3C1852A6"/>
    <w:rsid w:val="3C1934F8"/>
    <w:rsid w:val="3C4963FB"/>
    <w:rsid w:val="3CC86CCC"/>
    <w:rsid w:val="3CC94044"/>
    <w:rsid w:val="3CFC79C9"/>
    <w:rsid w:val="40291830"/>
    <w:rsid w:val="40600C06"/>
    <w:rsid w:val="40E7649F"/>
    <w:rsid w:val="41635215"/>
    <w:rsid w:val="4261106C"/>
    <w:rsid w:val="43FA3C0F"/>
    <w:rsid w:val="454336EA"/>
    <w:rsid w:val="45B778DE"/>
    <w:rsid w:val="45F2359D"/>
    <w:rsid w:val="466B6C60"/>
    <w:rsid w:val="47D74267"/>
    <w:rsid w:val="484511D1"/>
    <w:rsid w:val="48645AFB"/>
    <w:rsid w:val="4A7E6C1C"/>
    <w:rsid w:val="4BF16279"/>
    <w:rsid w:val="4C0F2222"/>
    <w:rsid w:val="4D616AAD"/>
    <w:rsid w:val="4D7C38E7"/>
    <w:rsid w:val="53425600"/>
    <w:rsid w:val="53672943"/>
    <w:rsid w:val="53AC47FA"/>
    <w:rsid w:val="53AC65A8"/>
    <w:rsid w:val="5449029B"/>
    <w:rsid w:val="546926EB"/>
    <w:rsid w:val="56DC71A4"/>
    <w:rsid w:val="57407733"/>
    <w:rsid w:val="57482A8C"/>
    <w:rsid w:val="57671164"/>
    <w:rsid w:val="57A06424"/>
    <w:rsid w:val="580F5357"/>
    <w:rsid w:val="5A2C0A4D"/>
    <w:rsid w:val="5A5A6D5E"/>
    <w:rsid w:val="5AD308BE"/>
    <w:rsid w:val="5B2B3E13"/>
    <w:rsid w:val="5B4812AC"/>
    <w:rsid w:val="5C186ED1"/>
    <w:rsid w:val="5C5658E0"/>
    <w:rsid w:val="5C93072F"/>
    <w:rsid w:val="5CBA3AE4"/>
    <w:rsid w:val="5DD40BD5"/>
    <w:rsid w:val="5EC626CC"/>
    <w:rsid w:val="5F4B136B"/>
    <w:rsid w:val="5FC33DAA"/>
    <w:rsid w:val="60E90E3C"/>
    <w:rsid w:val="60FA4DF7"/>
    <w:rsid w:val="62726C0F"/>
    <w:rsid w:val="667A37AB"/>
    <w:rsid w:val="66DD449A"/>
    <w:rsid w:val="67D55CA7"/>
    <w:rsid w:val="692C7B17"/>
    <w:rsid w:val="69C51B54"/>
    <w:rsid w:val="6ABA55F7"/>
    <w:rsid w:val="6B581748"/>
    <w:rsid w:val="6C150D37"/>
    <w:rsid w:val="6CCF5389"/>
    <w:rsid w:val="6D341690"/>
    <w:rsid w:val="700D71E2"/>
    <w:rsid w:val="701337DF"/>
    <w:rsid w:val="70B825D8"/>
    <w:rsid w:val="70D038F6"/>
    <w:rsid w:val="712760E4"/>
    <w:rsid w:val="73A86934"/>
    <w:rsid w:val="75A40DDD"/>
    <w:rsid w:val="760D69B3"/>
    <w:rsid w:val="7621652A"/>
    <w:rsid w:val="76357BAC"/>
    <w:rsid w:val="76D34A28"/>
    <w:rsid w:val="776355D8"/>
    <w:rsid w:val="77EB642C"/>
    <w:rsid w:val="783A2006"/>
    <w:rsid w:val="784E646D"/>
    <w:rsid w:val="788C05D2"/>
    <w:rsid w:val="78FB7506"/>
    <w:rsid w:val="7A1C7734"/>
    <w:rsid w:val="7A2E3642"/>
    <w:rsid w:val="7B05466C"/>
    <w:rsid w:val="7B6859A9"/>
    <w:rsid w:val="7C213CBD"/>
    <w:rsid w:val="7D4B436D"/>
    <w:rsid w:val="7F5E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Normal (Web)"/>
    <w:basedOn w:val="1"/>
    <w:unhideWhenUsed/>
    <w:qFormat/>
    <w:uiPriority w:val="99"/>
    <w:pPr>
      <w:widowControl/>
      <w:spacing w:before="100" w:beforeAutospacing="1" w:after="100" w:afterAutospacing="1"/>
      <w:ind w:left="0"/>
      <w:jc w:val="left"/>
    </w:pPr>
    <w:rPr>
      <w:rFonts w:ascii="宋体" w:hAnsi="宋体" w:eastAsia="宋体" w:cs="宋体"/>
      <w:kern w:val="0"/>
      <w:sz w:val="24"/>
      <w:szCs w:val="24"/>
    </w:rPr>
  </w:style>
  <w:style w:type="paragraph" w:styleId="6">
    <w:name w:val="Body Text First Indent"/>
    <w:basedOn w:val="4"/>
    <w:qFormat/>
    <w:uiPriority w:val="0"/>
    <w:pPr>
      <w:spacing w:after="0"/>
      <w:ind w:firstLine="420" w:firstLineChars="100"/>
    </w:pPr>
    <w:rPr>
      <w:rFonts w:ascii="Calibri" w:hAnsi="Calibri" w:cs="Times New Roma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3772</Words>
  <Characters>4068</Characters>
  <Lines>0</Lines>
  <Paragraphs>0</Paragraphs>
  <TotalTime>2</TotalTime>
  <ScaleCrop>false</ScaleCrop>
  <LinksUpToDate>false</LinksUpToDate>
  <CharactersWithSpaces>4106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2023-11-25T03:30:00Z</dcterms:created>
  <dc:creator>太阳小雨</dc:creator>
  <cp:lastModifiedBy>谢梓蕴</cp:lastModifiedBy>
  <dcterms:modified xsi:type="dcterms:W3CDTF">2026-04-01T00:54:09Z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FD7183A8F022498EAE9AA70B95FC1B11_13</vt:lpwstr>
  </property>
  <property fmtid="{D5CDD505-2E9C-101B-9397-08002B2CF9AE}" pid="4" name="KSOTemplateDocerSaveRecord">
    <vt:lpwstr>eyJoZGlkIjoiNWNlZjhlNzA5MTRhM2VkNzE0OGYyYWNiMjJiNzFiZDciLCJ1c2VySWQiOiIxMjc5MzE3MDQwIn0=</vt:lpwstr>
  </property>
</Properties>
</file>