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3A7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outlineLvl w:val="0"/>
        <w:rPr>
          <w:rFonts w:hint="default" w:ascii="宋体" w:hAnsi="宋体" w:eastAsia="宋体" w:cs="宋体"/>
          <w:b/>
          <w:bCs/>
          <w:color w:val="000000"/>
          <w:sz w:val="28"/>
          <w:szCs w:val="28"/>
          <w:lang w:val="en-US"/>
        </w:rPr>
      </w:pPr>
      <w:bookmarkStart w:id="0" w:name="OLE_LINK1"/>
      <w:r>
        <w:rPr>
          <w:rFonts w:hint="eastAsia" w:ascii="宋体" w:hAnsi="宋体" w:eastAsia="宋体" w:cs="宋体"/>
          <w:b/>
          <w:bCs/>
          <w:color w:val="000000"/>
          <w:sz w:val="28"/>
          <w:szCs w:val="28"/>
        </w:rPr>
        <w:t>番禺区妇幼保健院2026</w:t>
      </w:r>
      <w:r>
        <w:rPr>
          <w:rFonts w:hint="eastAsia" w:ascii="宋体" w:hAnsi="宋体" w:eastAsia="宋体" w:cs="宋体"/>
          <w:b/>
          <w:bCs/>
          <w:color w:val="000000"/>
          <w:sz w:val="28"/>
          <w:szCs w:val="28"/>
          <w:lang w:val="en-US" w:eastAsia="zh-CN"/>
        </w:rPr>
        <w:t>年4月至2027年4月打印式</w:t>
      </w:r>
      <w:r>
        <w:rPr>
          <w:rFonts w:hint="eastAsia" w:ascii="宋体" w:hAnsi="宋体" w:eastAsia="宋体" w:cs="宋体"/>
          <w:b/>
          <w:bCs/>
          <w:color w:val="000000"/>
          <w:sz w:val="28"/>
          <w:szCs w:val="28"/>
        </w:rPr>
        <w:t>手腕带</w:t>
      </w:r>
      <w:r>
        <w:rPr>
          <w:rFonts w:hint="eastAsia" w:ascii="宋体" w:hAnsi="宋体" w:eastAsia="宋体" w:cs="宋体"/>
          <w:b/>
          <w:bCs/>
          <w:color w:val="000000"/>
          <w:sz w:val="28"/>
          <w:szCs w:val="28"/>
          <w:lang w:val="en-US" w:eastAsia="zh-CN"/>
        </w:rPr>
        <w:t>类</w:t>
      </w:r>
      <w:r>
        <w:rPr>
          <w:rFonts w:hint="eastAsia" w:ascii="宋体" w:hAnsi="宋体" w:eastAsia="宋体" w:cs="宋体"/>
          <w:b/>
          <w:bCs/>
          <w:color w:val="000000"/>
          <w:sz w:val="28"/>
          <w:szCs w:val="28"/>
        </w:rPr>
        <w:t>采购</w:t>
      </w:r>
      <w:r>
        <w:rPr>
          <w:rFonts w:hint="eastAsia" w:ascii="宋体" w:hAnsi="宋体" w:eastAsia="宋体" w:cs="宋体"/>
          <w:b/>
          <w:bCs/>
          <w:color w:val="000000"/>
          <w:sz w:val="28"/>
          <w:szCs w:val="28"/>
          <w:lang w:eastAsia="zh-CN"/>
        </w:rPr>
        <w:t>项目</w:t>
      </w:r>
      <w:bookmarkEnd w:id="0"/>
      <w:r>
        <w:rPr>
          <w:rFonts w:hint="eastAsia" w:ascii="宋体" w:hAnsi="宋体" w:eastAsia="宋体" w:cs="宋体"/>
          <w:b/>
          <w:bCs/>
          <w:color w:val="000000"/>
          <w:sz w:val="28"/>
          <w:szCs w:val="28"/>
          <w:lang w:val="en-US" w:eastAsia="zh-CN"/>
        </w:rPr>
        <w:t>需求书</w:t>
      </w:r>
    </w:p>
    <w:p w14:paraId="04D73D6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lang w:val="en-US" w:eastAsia="zh-CN"/>
        </w:rPr>
        <w:t>采购金额：</w:t>
      </w:r>
      <w:r>
        <w:rPr>
          <w:rFonts w:hint="eastAsia" w:ascii="宋体" w:hAnsi="宋体" w:eastAsia="宋体" w:cs="宋体"/>
          <w:b w:val="0"/>
          <w:bCs/>
          <w:color w:val="000000"/>
          <w:sz w:val="24"/>
          <w:szCs w:val="24"/>
          <w:lang w:val="en-US" w:eastAsia="zh-CN"/>
        </w:rPr>
        <w:t>本项目为单价包干，金额包括货款、配送费、运输费、保险、售后服务、设备使用费、税费等项目实施过程中应预见和不可预见的费用，采购人不再另行支付其它费用。合同期内供货单价不变。</w:t>
      </w:r>
    </w:p>
    <w:p w14:paraId="5EBF298B">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color w:val="000000"/>
          <w:sz w:val="24"/>
          <w:szCs w:val="24"/>
          <w:lang w:val="en-US" w:eastAsia="zh-CN"/>
        </w:rPr>
      </w:pPr>
      <w:r>
        <w:rPr>
          <w:rFonts w:hint="eastAsia" w:ascii="宋体" w:hAnsi="宋体" w:eastAsia="宋体" w:cs="宋体"/>
          <w:b/>
          <w:color w:val="000000"/>
          <w:sz w:val="24"/>
          <w:szCs w:val="24"/>
          <w:lang w:val="en-US" w:eastAsia="zh-CN"/>
        </w:rPr>
        <w:t>供货期限：</w:t>
      </w:r>
      <w:r>
        <w:rPr>
          <w:rFonts w:hint="eastAsia" w:ascii="宋体" w:hAnsi="宋体" w:eastAsia="宋体" w:cs="宋体"/>
          <w:b w:val="0"/>
          <w:bCs/>
          <w:color w:val="000000"/>
          <w:sz w:val="24"/>
          <w:szCs w:val="24"/>
          <w:lang w:val="en-US" w:eastAsia="zh-CN"/>
        </w:rPr>
        <w:t>一年，实际供货期限以“合同期内结算金额累计达到合同金额”或“自合同签订之日起一年”条件先到者为准。</w:t>
      </w:r>
    </w:p>
    <w:p w14:paraId="7856AA70">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计划采购清单</w:t>
      </w:r>
    </w:p>
    <w:tbl>
      <w:tblPr>
        <w:tblStyle w:val="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0"/>
        <w:gridCol w:w="1428"/>
        <w:gridCol w:w="1803"/>
        <w:gridCol w:w="1128"/>
        <w:gridCol w:w="2098"/>
        <w:gridCol w:w="517"/>
        <w:gridCol w:w="1265"/>
      </w:tblGrid>
      <w:tr w14:paraId="67DA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0" w:type="dxa"/>
            <w:shd w:val="clear" w:color="auto" w:fill="auto"/>
            <w:noWrap/>
            <w:vAlign w:val="center"/>
          </w:tcPr>
          <w:p w14:paraId="1E5234A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428" w:type="dxa"/>
            <w:shd w:val="clear" w:color="auto" w:fill="auto"/>
            <w:noWrap/>
            <w:vAlign w:val="center"/>
          </w:tcPr>
          <w:p w14:paraId="419DB8F7">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货物名称</w:t>
            </w:r>
          </w:p>
        </w:tc>
        <w:tc>
          <w:tcPr>
            <w:tcW w:w="1803" w:type="dxa"/>
            <w:shd w:val="clear" w:color="auto" w:fill="auto"/>
            <w:noWrap/>
            <w:vAlign w:val="center"/>
          </w:tcPr>
          <w:p w14:paraId="3E417D3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w:t>
            </w:r>
          </w:p>
        </w:tc>
        <w:tc>
          <w:tcPr>
            <w:tcW w:w="1128" w:type="dxa"/>
            <w:shd w:val="clear" w:color="auto" w:fill="auto"/>
            <w:noWrap/>
            <w:vAlign w:val="center"/>
          </w:tcPr>
          <w:p w14:paraId="6A1768A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材质</w:t>
            </w:r>
          </w:p>
        </w:tc>
        <w:tc>
          <w:tcPr>
            <w:tcW w:w="2098" w:type="dxa"/>
            <w:shd w:val="clear" w:color="auto" w:fill="auto"/>
            <w:noWrap/>
            <w:vAlign w:val="center"/>
          </w:tcPr>
          <w:p w14:paraId="568C03F5">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图片</w:t>
            </w:r>
          </w:p>
        </w:tc>
        <w:tc>
          <w:tcPr>
            <w:tcW w:w="517" w:type="dxa"/>
            <w:shd w:val="clear" w:color="auto" w:fill="auto"/>
            <w:noWrap/>
            <w:vAlign w:val="center"/>
          </w:tcPr>
          <w:p w14:paraId="211262C9">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265" w:type="dxa"/>
            <w:shd w:val="clear" w:color="auto" w:fill="auto"/>
            <w:noWrap/>
            <w:vAlign w:val="center"/>
          </w:tcPr>
          <w:p w14:paraId="2602071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采购数量（仅参考）</w:t>
            </w:r>
          </w:p>
        </w:tc>
      </w:tr>
      <w:tr w14:paraId="6D3D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3DF9315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8" w:type="dxa"/>
            <w:vMerge w:val="restart"/>
            <w:shd w:val="clear" w:color="auto" w:fill="auto"/>
            <w:noWrap/>
            <w:vAlign w:val="center"/>
          </w:tcPr>
          <w:p w14:paraId="338D929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条码打印手腕带</w:t>
            </w:r>
          </w:p>
        </w:tc>
        <w:tc>
          <w:tcPr>
            <w:tcW w:w="1803" w:type="dxa"/>
            <w:shd w:val="clear" w:color="auto" w:fill="auto"/>
            <w:noWrap/>
            <w:vAlign w:val="center"/>
          </w:tcPr>
          <w:p w14:paraId="4FD8CCA0">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成人</w:t>
            </w:r>
          </w:p>
        </w:tc>
        <w:tc>
          <w:tcPr>
            <w:tcW w:w="1128" w:type="dxa"/>
            <w:vMerge w:val="restart"/>
            <w:shd w:val="clear" w:color="auto" w:fill="auto"/>
            <w:noWrap/>
            <w:vAlign w:val="center"/>
          </w:tcPr>
          <w:p w14:paraId="4CC4A0C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特制热敏纳米硅胶复合材料</w:t>
            </w:r>
          </w:p>
        </w:tc>
        <w:tc>
          <w:tcPr>
            <w:tcW w:w="2098" w:type="dxa"/>
            <w:shd w:val="clear" w:color="auto" w:fill="auto"/>
            <w:noWrap/>
            <w:vAlign w:val="center"/>
          </w:tcPr>
          <w:p w14:paraId="0CA322A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38200" cy="47625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7"/>
                          <a:stretch>
                            <a:fillRect/>
                          </a:stretch>
                        </pic:blipFill>
                        <pic:spPr>
                          <a:xfrm>
                            <a:off x="0" y="0"/>
                            <a:ext cx="838200" cy="476250"/>
                          </a:xfrm>
                          <a:prstGeom prst="rect">
                            <a:avLst/>
                          </a:prstGeom>
                          <a:noFill/>
                          <a:ln>
                            <a:noFill/>
                          </a:ln>
                        </pic:spPr>
                      </pic:pic>
                    </a:graphicData>
                  </a:graphic>
                </wp:anchor>
              </w:drawing>
            </w:r>
          </w:p>
        </w:tc>
        <w:tc>
          <w:tcPr>
            <w:tcW w:w="517" w:type="dxa"/>
            <w:shd w:val="clear" w:color="auto" w:fill="auto"/>
            <w:noWrap/>
            <w:vAlign w:val="center"/>
          </w:tcPr>
          <w:p w14:paraId="40E2E9B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5D2B3FC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75</w:t>
            </w:r>
            <w:bookmarkStart w:id="1" w:name="_GoBack"/>
            <w:bookmarkEnd w:id="1"/>
            <w:r>
              <w:rPr>
                <w:rFonts w:hint="eastAsia" w:ascii="宋体" w:hAnsi="宋体" w:eastAsia="宋体" w:cs="宋体"/>
                <w:i w:val="0"/>
                <w:iCs w:val="0"/>
                <w:snapToGrid w:val="0"/>
                <w:color w:val="000000"/>
                <w:kern w:val="0"/>
                <w:sz w:val="22"/>
                <w:szCs w:val="22"/>
                <w:u w:val="none"/>
                <w:lang w:val="en-US" w:eastAsia="zh-CN" w:bidi="ar"/>
              </w:rPr>
              <w:t>000</w:t>
            </w:r>
          </w:p>
        </w:tc>
      </w:tr>
      <w:tr w14:paraId="0F18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5F466557">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8" w:type="dxa"/>
            <w:vMerge w:val="continue"/>
            <w:shd w:val="clear" w:color="auto" w:fill="auto"/>
            <w:noWrap/>
            <w:vAlign w:val="center"/>
          </w:tcPr>
          <w:p w14:paraId="39A48C1B">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094BC8C">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儿童</w:t>
            </w:r>
          </w:p>
        </w:tc>
        <w:tc>
          <w:tcPr>
            <w:tcW w:w="1128" w:type="dxa"/>
            <w:vMerge w:val="continue"/>
            <w:shd w:val="clear" w:color="auto" w:fill="auto"/>
            <w:noWrap/>
            <w:vAlign w:val="center"/>
          </w:tcPr>
          <w:p w14:paraId="0CA8C93D">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58E4EB7C">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86460" cy="457200"/>
                  <wp:effectExtent l="0" t="0" r="8890" b="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8"/>
                          <a:stretch>
                            <a:fillRect/>
                          </a:stretch>
                        </pic:blipFill>
                        <pic:spPr>
                          <a:xfrm>
                            <a:off x="0" y="0"/>
                            <a:ext cx="886460" cy="457200"/>
                          </a:xfrm>
                          <a:prstGeom prst="rect">
                            <a:avLst/>
                          </a:prstGeom>
                          <a:noFill/>
                          <a:ln>
                            <a:noFill/>
                          </a:ln>
                        </pic:spPr>
                      </pic:pic>
                    </a:graphicData>
                  </a:graphic>
                </wp:anchor>
              </w:drawing>
            </w:r>
          </w:p>
        </w:tc>
        <w:tc>
          <w:tcPr>
            <w:tcW w:w="517" w:type="dxa"/>
            <w:shd w:val="clear" w:color="auto" w:fill="auto"/>
            <w:noWrap/>
            <w:vAlign w:val="center"/>
          </w:tcPr>
          <w:p w14:paraId="39C5C63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4730BE73">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3000</w:t>
            </w:r>
          </w:p>
        </w:tc>
      </w:tr>
      <w:tr w14:paraId="04D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0696089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428" w:type="dxa"/>
            <w:vMerge w:val="continue"/>
            <w:shd w:val="clear" w:color="auto" w:fill="auto"/>
            <w:noWrap/>
            <w:vAlign w:val="center"/>
          </w:tcPr>
          <w:p w14:paraId="7583C3D8">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36E3696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新生儿（识读有效期≥90天）</w:t>
            </w:r>
          </w:p>
        </w:tc>
        <w:tc>
          <w:tcPr>
            <w:tcW w:w="1128" w:type="dxa"/>
            <w:vMerge w:val="continue"/>
            <w:shd w:val="clear" w:color="auto" w:fill="auto"/>
            <w:noWrap/>
            <w:vAlign w:val="center"/>
          </w:tcPr>
          <w:p w14:paraId="3B008EA7">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0981160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3135" cy="448310"/>
                  <wp:effectExtent l="0" t="0" r="18415" b="889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9"/>
                          <a:stretch>
                            <a:fillRect/>
                          </a:stretch>
                        </pic:blipFill>
                        <pic:spPr>
                          <a:xfrm>
                            <a:off x="0" y="0"/>
                            <a:ext cx="953135" cy="448310"/>
                          </a:xfrm>
                          <a:prstGeom prst="rect">
                            <a:avLst/>
                          </a:prstGeom>
                          <a:noFill/>
                          <a:ln>
                            <a:noFill/>
                          </a:ln>
                        </pic:spPr>
                      </pic:pic>
                    </a:graphicData>
                  </a:graphic>
                </wp:anchor>
              </w:drawing>
            </w:r>
          </w:p>
        </w:tc>
        <w:tc>
          <w:tcPr>
            <w:tcW w:w="517" w:type="dxa"/>
            <w:shd w:val="clear" w:color="auto" w:fill="auto"/>
            <w:noWrap/>
            <w:vAlign w:val="center"/>
          </w:tcPr>
          <w:p w14:paraId="3708D492">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01DB5CC9">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22500</w:t>
            </w:r>
          </w:p>
        </w:tc>
      </w:tr>
      <w:tr w14:paraId="7DB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57EF213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428" w:type="dxa"/>
            <w:vMerge w:val="restart"/>
            <w:shd w:val="clear" w:color="auto" w:fill="auto"/>
            <w:noWrap/>
            <w:vAlign w:val="center"/>
          </w:tcPr>
          <w:p w14:paraId="51995E0D">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条码手写手腕带</w:t>
            </w:r>
          </w:p>
        </w:tc>
        <w:tc>
          <w:tcPr>
            <w:tcW w:w="1803" w:type="dxa"/>
            <w:shd w:val="clear" w:color="auto" w:fill="auto"/>
            <w:noWrap/>
            <w:vAlign w:val="center"/>
          </w:tcPr>
          <w:p w14:paraId="41BC0F1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成人</w:t>
            </w:r>
          </w:p>
        </w:tc>
        <w:tc>
          <w:tcPr>
            <w:tcW w:w="1128" w:type="dxa"/>
            <w:vMerge w:val="restart"/>
            <w:shd w:val="clear" w:color="auto" w:fill="auto"/>
            <w:noWrap/>
            <w:vAlign w:val="center"/>
          </w:tcPr>
          <w:p w14:paraId="42C4F7E6">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环保PVC薄膜</w:t>
            </w:r>
          </w:p>
        </w:tc>
        <w:tc>
          <w:tcPr>
            <w:tcW w:w="2098" w:type="dxa"/>
            <w:shd w:val="clear" w:color="auto" w:fill="auto"/>
            <w:noWrap/>
            <w:vAlign w:val="center"/>
          </w:tcPr>
          <w:p w14:paraId="25B49F9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23950" cy="381000"/>
                  <wp:effectExtent l="0" t="0" r="0" b="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10"/>
                          <a:stretch>
                            <a:fillRect/>
                          </a:stretch>
                        </pic:blipFill>
                        <pic:spPr>
                          <a:xfrm>
                            <a:off x="0" y="0"/>
                            <a:ext cx="1123950" cy="381000"/>
                          </a:xfrm>
                          <a:prstGeom prst="rect">
                            <a:avLst/>
                          </a:prstGeom>
                          <a:noFill/>
                          <a:ln>
                            <a:noFill/>
                          </a:ln>
                        </pic:spPr>
                      </pic:pic>
                    </a:graphicData>
                  </a:graphic>
                </wp:anchor>
              </w:drawing>
            </w:r>
          </w:p>
        </w:tc>
        <w:tc>
          <w:tcPr>
            <w:tcW w:w="517" w:type="dxa"/>
            <w:shd w:val="clear" w:color="auto" w:fill="auto"/>
            <w:noWrap/>
            <w:vAlign w:val="center"/>
          </w:tcPr>
          <w:p w14:paraId="78900B8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2E0F8302">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1000</w:t>
            </w:r>
          </w:p>
        </w:tc>
      </w:tr>
      <w:tr w14:paraId="092B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50" w:type="dxa"/>
            <w:shd w:val="clear" w:color="auto" w:fill="auto"/>
            <w:noWrap/>
            <w:vAlign w:val="center"/>
          </w:tcPr>
          <w:p w14:paraId="2B776EC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428" w:type="dxa"/>
            <w:vMerge w:val="continue"/>
            <w:shd w:val="clear" w:color="auto" w:fill="auto"/>
            <w:noWrap/>
            <w:vAlign w:val="center"/>
          </w:tcPr>
          <w:p w14:paraId="397EA134">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37924B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w:t>
            </w:r>
          </w:p>
        </w:tc>
        <w:tc>
          <w:tcPr>
            <w:tcW w:w="1128" w:type="dxa"/>
            <w:vMerge w:val="continue"/>
            <w:shd w:val="clear" w:color="auto" w:fill="auto"/>
            <w:noWrap/>
            <w:vAlign w:val="center"/>
          </w:tcPr>
          <w:p w14:paraId="76BAA02F">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6B892DE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23950" cy="419100"/>
                  <wp:effectExtent l="0" t="0" r="0" b="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11"/>
                          <a:stretch>
                            <a:fillRect/>
                          </a:stretch>
                        </pic:blipFill>
                        <pic:spPr>
                          <a:xfrm>
                            <a:off x="0" y="0"/>
                            <a:ext cx="1123950" cy="419100"/>
                          </a:xfrm>
                          <a:prstGeom prst="rect">
                            <a:avLst/>
                          </a:prstGeom>
                          <a:noFill/>
                          <a:ln>
                            <a:noFill/>
                          </a:ln>
                        </pic:spPr>
                      </pic:pic>
                    </a:graphicData>
                  </a:graphic>
                </wp:anchor>
              </w:drawing>
            </w:r>
          </w:p>
        </w:tc>
        <w:tc>
          <w:tcPr>
            <w:tcW w:w="517" w:type="dxa"/>
            <w:shd w:val="clear" w:color="auto" w:fill="auto"/>
            <w:noWrap/>
            <w:vAlign w:val="center"/>
          </w:tcPr>
          <w:p w14:paraId="67CB24E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1F0FBBDA">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500</w:t>
            </w:r>
          </w:p>
        </w:tc>
      </w:tr>
      <w:tr w14:paraId="366F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0" w:type="dxa"/>
            <w:shd w:val="clear" w:color="auto" w:fill="auto"/>
            <w:noWrap/>
            <w:vAlign w:val="center"/>
          </w:tcPr>
          <w:p w14:paraId="1256ABD8">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428" w:type="dxa"/>
            <w:vMerge w:val="continue"/>
            <w:shd w:val="clear" w:color="auto" w:fill="auto"/>
            <w:noWrap/>
            <w:vAlign w:val="center"/>
          </w:tcPr>
          <w:p w14:paraId="6CFBFED3">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1803" w:type="dxa"/>
            <w:shd w:val="clear" w:color="auto" w:fill="auto"/>
            <w:noWrap/>
            <w:vAlign w:val="center"/>
          </w:tcPr>
          <w:p w14:paraId="7907A921">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陪护</w:t>
            </w:r>
          </w:p>
        </w:tc>
        <w:tc>
          <w:tcPr>
            <w:tcW w:w="1128" w:type="dxa"/>
            <w:vMerge w:val="continue"/>
            <w:shd w:val="clear" w:color="auto" w:fill="auto"/>
            <w:noWrap/>
            <w:vAlign w:val="center"/>
          </w:tcPr>
          <w:p w14:paraId="100A95B4">
            <w:pPr>
              <w:keepNext w:val="0"/>
              <w:keepLines w:val="0"/>
              <w:pageBreakBefore w:val="0"/>
              <w:widowControl w:val="0"/>
              <w:wordWrap/>
              <w:overflowPunct/>
              <w:topLinePunct w:val="0"/>
              <w:autoSpaceDE w:val="0"/>
              <w:autoSpaceDN w:val="0"/>
              <w:bidi w:val="0"/>
              <w:adjustRightInd w:val="0"/>
              <w:jc w:val="center"/>
              <w:rPr>
                <w:rFonts w:hint="eastAsia" w:ascii="宋体" w:hAnsi="宋体" w:eastAsia="宋体" w:cs="宋体"/>
                <w:i w:val="0"/>
                <w:iCs w:val="0"/>
                <w:color w:val="000000"/>
                <w:sz w:val="22"/>
                <w:szCs w:val="22"/>
                <w:u w:val="none"/>
              </w:rPr>
            </w:pPr>
          </w:p>
        </w:tc>
        <w:tc>
          <w:tcPr>
            <w:tcW w:w="2098" w:type="dxa"/>
            <w:shd w:val="clear" w:color="auto" w:fill="auto"/>
            <w:noWrap/>
            <w:vAlign w:val="center"/>
          </w:tcPr>
          <w:p w14:paraId="136B0AC4">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-31750</wp:posOffset>
                  </wp:positionV>
                  <wp:extent cx="1123950" cy="304800"/>
                  <wp:effectExtent l="0" t="0" r="0" b="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12"/>
                          <a:stretch>
                            <a:fillRect/>
                          </a:stretch>
                        </pic:blipFill>
                        <pic:spPr>
                          <a:xfrm>
                            <a:off x="0" y="0"/>
                            <a:ext cx="1123950" cy="304800"/>
                          </a:xfrm>
                          <a:prstGeom prst="rect">
                            <a:avLst/>
                          </a:prstGeom>
                          <a:noFill/>
                          <a:ln>
                            <a:noFill/>
                          </a:ln>
                        </pic:spPr>
                      </pic:pic>
                    </a:graphicData>
                  </a:graphic>
                </wp:anchor>
              </w:drawing>
            </w:r>
          </w:p>
        </w:tc>
        <w:tc>
          <w:tcPr>
            <w:tcW w:w="517" w:type="dxa"/>
            <w:shd w:val="clear" w:color="auto" w:fill="auto"/>
            <w:noWrap/>
            <w:vAlign w:val="center"/>
          </w:tcPr>
          <w:p w14:paraId="6283705B">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265" w:type="dxa"/>
            <w:shd w:val="clear" w:color="auto" w:fill="auto"/>
            <w:noWrap/>
            <w:vAlign w:val="center"/>
          </w:tcPr>
          <w:p w14:paraId="5F7D0375">
            <w:pPr>
              <w:keepNext w:val="0"/>
              <w:keepLines w:val="0"/>
              <w:pageBreakBefore w:val="0"/>
              <w:widowControl w:val="0"/>
              <w:suppressLineNumbers w:val="0"/>
              <w:wordWrap/>
              <w:overflowPunct/>
              <w:topLinePunct w:val="0"/>
              <w:autoSpaceDE w:val="0"/>
              <w:autoSpaceDN w:val="0"/>
              <w:bidi w:val="0"/>
              <w:adjustRightIn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16000</w:t>
            </w:r>
          </w:p>
        </w:tc>
      </w:tr>
    </w:tbl>
    <w:p w14:paraId="7CE17C87">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质量要求</w:t>
      </w:r>
    </w:p>
    <w:p w14:paraId="2AA8FD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供应商提供的货物必须为原厂生产的全新、未使用的合格产品，符合中华人民共和国最新的相关质量、安全、环保标准及行业标准。其他规格和材质要求参照《采购清单》，</w:t>
      </w:r>
      <w:r>
        <w:rPr>
          <w:rFonts w:ascii="Segoe UI" w:hAnsi="Segoe UI" w:eastAsia="Segoe UI" w:cs="Segoe UI"/>
          <w:i w:val="0"/>
          <w:iCs w:val="0"/>
          <w:caps w:val="0"/>
          <w:color w:val="0F1115"/>
          <w:spacing w:val="0"/>
          <w:sz w:val="24"/>
          <w:szCs w:val="24"/>
          <w:shd w:val="clear" w:fill="FFFFFF"/>
        </w:rPr>
        <w:t>对人体安全无刺激</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b w:val="0"/>
          <w:bCs w:val="0"/>
          <w:color w:val="000000"/>
          <w:sz w:val="24"/>
          <w:szCs w:val="24"/>
          <w:lang w:val="en-US" w:eastAsia="zh-CN"/>
        </w:rPr>
        <w:t>确保临床使用安全。</w:t>
      </w:r>
    </w:p>
    <w:p w14:paraId="15DF5035">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配套打印设备</w:t>
      </w:r>
    </w:p>
    <w:p w14:paraId="160CF1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成交供应商需要提供不少于37台与打印式手腕带匹配的打印设备和打印软件（推荐斑马牌），采购人在合同期内享有使用权，不作其他用途，设备所有权归成交供应商所有。设备使用费已包含在采购金额中，不另外收取费用。</w:t>
      </w:r>
    </w:p>
    <w:p w14:paraId="35A0244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2.成交供应商须配合采购人调试打印设备至能正常使用。</w:t>
      </w:r>
    </w:p>
    <w:p w14:paraId="3882BD0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打印设备在使用过程中遇到故障，成交供应商须在采购人电话报障后1小时响应，4小时内到达现场维修，若当天不能修复完毕，需提供同型号的打印设备给采购人使用直至维修完毕。产生的费用由成交供应商承担，如造成采购人损失的，由成交供应商承担相应的赔偿责任。</w:t>
      </w:r>
    </w:p>
    <w:p w14:paraId="65A271D0">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供货要求</w:t>
      </w:r>
    </w:p>
    <w:p w14:paraId="1C8F2C88">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1.采购人发出订货清单后，成交供应商须3天内送达。遇紧急情况，供应商应在24小时内送达。</w:t>
      </w:r>
    </w:p>
    <w:p w14:paraId="3D32F4D0">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lang w:val="en-US" w:eastAsia="zh-CN"/>
        </w:rPr>
        <w:t>采购人每周</w:t>
      </w:r>
      <w:r>
        <w:rPr>
          <w:rFonts w:hint="eastAsia" w:ascii="宋体" w:hAnsi="宋体" w:eastAsia="宋体" w:cs="宋体"/>
          <w:color w:val="000000"/>
          <w:sz w:val="24"/>
          <w:szCs w:val="24"/>
          <w:lang w:val="en-US" w:eastAsia="zh-CN"/>
        </w:rPr>
        <w:t>一、三、五</w:t>
      </w:r>
      <w:r>
        <w:rPr>
          <w:rFonts w:hint="default" w:ascii="宋体" w:hAnsi="宋体" w:eastAsia="宋体" w:cs="宋体"/>
          <w:color w:val="000000"/>
          <w:sz w:val="24"/>
          <w:szCs w:val="24"/>
          <w:lang w:val="en-US" w:eastAsia="zh-CN"/>
        </w:rPr>
        <w:t>汇总一次发给供应商，供应商</w:t>
      </w:r>
      <w:r>
        <w:rPr>
          <w:rFonts w:hint="eastAsia" w:ascii="宋体" w:hAnsi="宋体" w:eastAsia="宋体" w:cs="宋体"/>
          <w:color w:val="000000"/>
          <w:sz w:val="24"/>
          <w:szCs w:val="24"/>
          <w:lang w:val="en-US" w:eastAsia="zh-CN"/>
        </w:rPr>
        <w:t>收到订单后3天</w:t>
      </w:r>
      <w:r>
        <w:rPr>
          <w:rFonts w:hint="default" w:ascii="宋体" w:hAnsi="宋体" w:eastAsia="宋体" w:cs="宋体"/>
          <w:color w:val="000000"/>
          <w:sz w:val="24"/>
          <w:szCs w:val="24"/>
          <w:lang w:val="en-US" w:eastAsia="zh-CN"/>
        </w:rPr>
        <w:t>内完成配送</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发货前须知会采购人</w:t>
      </w:r>
      <w:r>
        <w:rPr>
          <w:rFonts w:hint="eastAsia" w:ascii="宋体" w:hAnsi="宋体" w:eastAsia="宋体" w:cs="宋体"/>
          <w:color w:val="000000"/>
          <w:sz w:val="24"/>
          <w:szCs w:val="24"/>
          <w:lang w:val="en-US" w:eastAsia="zh-CN"/>
        </w:rPr>
        <w:t>。</w:t>
      </w:r>
    </w:p>
    <w:p w14:paraId="2988B3AB">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textAlignment w:val="baseline"/>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3.</w:t>
      </w:r>
      <w:r>
        <w:rPr>
          <w:rFonts w:hint="default" w:ascii="宋体" w:hAnsi="宋体" w:eastAsia="宋体" w:cs="宋体"/>
          <w:b/>
          <w:bCs/>
          <w:color w:val="000000"/>
          <w:sz w:val="24"/>
          <w:szCs w:val="24"/>
          <w:lang w:val="en-US" w:eastAsia="zh-CN"/>
        </w:rPr>
        <w:t>配送</w:t>
      </w:r>
      <w:r>
        <w:rPr>
          <w:rFonts w:hint="eastAsia" w:ascii="宋体" w:hAnsi="宋体" w:eastAsia="宋体" w:cs="宋体"/>
          <w:b/>
          <w:bCs/>
          <w:color w:val="000000"/>
          <w:sz w:val="24"/>
          <w:szCs w:val="24"/>
          <w:lang w:val="en-US" w:eastAsia="zh-CN"/>
        </w:rPr>
        <w:t>地点：</w:t>
      </w:r>
      <w:r>
        <w:rPr>
          <w:rFonts w:hint="default" w:ascii="宋体" w:hAnsi="宋体" w:eastAsia="宋体" w:cs="宋体"/>
          <w:color w:val="000000"/>
          <w:sz w:val="24"/>
          <w:szCs w:val="24"/>
          <w:lang w:val="en-US" w:eastAsia="zh-CN"/>
        </w:rPr>
        <w:t>广州市番禺区市桥清河东路2号</w:t>
      </w:r>
      <w:r>
        <w:rPr>
          <w:rFonts w:hint="eastAsia" w:ascii="宋体" w:hAnsi="宋体" w:eastAsia="宋体" w:cs="宋体"/>
          <w:color w:val="000000"/>
          <w:sz w:val="24"/>
          <w:szCs w:val="24"/>
          <w:lang w:val="en-US" w:eastAsia="zh-CN"/>
        </w:rPr>
        <w:t>仓库，紧急配送须送至指定科室地点。</w:t>
      </w:r>
    </w:p>
    <w:p w14:paraId="61726590">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4.</w:t>
      </w:r>
      <w:r>
        <w:rPr>
          <w:rFonts w:hint="default" w:ascii="宋体" w:hAnsi="宋体" w:eastAsia="宋体" w:cs="宋体"/>
          <w:b/>
          <w:bCs/>
          <w:color w:val="000000"/>
          <w:sz w:val="24"/>
          <w:szCs w:val="24"/>
          <w:lang w:val="en-US" w:eastAsia="zh-CN"/>
        </w:rPr>
        <w:t>包装</w:t>
      </w:r>
      <w:r>
        <w:rPr>
          <w:rFonts w:hint="eastAsia" w:ascii="宋体" w:hAnsi="宋体" w:eastAsia="宋体" w:cs="宋体"/>
          <w:b/>
          <w:bCs/>
          <w:color w:val="000000"/>
          <w:sz w:val="24"/>
          <w:szCs w:val="24"/>
          <w:lang w:val="en-US" w:eastAsia="zh-CN"/>
        </w:rPr>
        <w:t>：</w:t>
      </w:r>
      <w:r>
        <w:rPr>
          <w:rFonts w:hint="default" w:ascii="宋体" w:hAnsi="宋体" w:eastAsia="宋体" w:cs="宋体"/>
          <w:color w:val="000000"/>
          <w:sz w:val="24"/>
          <w:szCs w:val="24"/>
          <w:lang w:val="en-US" w:eastAsia="zh-CN"/>
        </w:rPr>
        <w:t>以品种及规格为单位进行装箱，在每个包装箱上注明货物名称。满足运输安全要求和规范规定，由于包装和运输过程中造成采购货物损坏，采购人有权拒收</w:t>
      </w:r>
      <w:r>
        <w:rPr>
          <w:rFonts w:hint="eastAsia" w:ascii="宋体" w:hAnsi="宋体" w:eastAsia="宋体" w:cs="宋体"/>
          <w:color w:val="000000"/>
          <w:sz w:val="24"/>
          <w:szCs w:val="24"/>
          <w:lang w:val="en-US" w:eastAsia="zh-CN"/>
        </w:rPr>
        <w:t>损坏的</w:t>
      </w:r>
      <w:r>
        <w:rPr>
          <w:rFonts w:hint="default" w:ascii="宋体" w:hAnsi="宋体" w:eastAsia="宋体" w:cs="宋体"/>
          <w:color w:val="000000"/>
          <w:sz w:val="24"/>
          <w:szCs w:val="24"/>
          <w:lang w:val="en-US" w:eastAsia="zh-CN"/>
        </w:rPr>
        <w:t>货物。</w:t>
      </w:r>
    </w:p>
    <w:p w14:paraId="315C5827">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w:t>
      </w:r>
      <w:r>
        <w:rPr>
          <w:rFonts w:hint="default" w:ascii="宋体" w:hAnsi="宋体" w:eastAsia="宋体" w:cs="宋体"/>
          <w:b/>
          <w:bCs/>
          <w:color w:val="000000"/>
          <w:sz w:val="24"/>
          <w:szCs w:val="24"/>
          <w:lang w:val="en-US" w:eastAsia="zh-CN"/>
        </w:rPr>
        <w:t>非采购人指定人员下单的货物，采购人拒绝支付相应货款。</w:t>
      </w:r>
    </w:p>
    <w:p w14:paraId="027DA5A8">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0" w:firstLineChars="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每次交货须随附一式三份的送货清单，</w:t>
      </w:r>
      <w:r>
        <w:rPr>
          <w:rFonts w:hint="eastAsia" w:ascii="宋体" w:hAnsi="宋体" w:eastAsia="宋体" w:cs="宋体"/>
          <w:color w:val="000000"/>
          <w:sz w:val="24"/>
          <w:szCs w:val="24"/>
          <w:lang w:val="en-US" w:eastAsia="zh-CN"/>
        </w:rPr>
        <w:t>经双方签字确认后，作为结算依据</w:t>
      </w:r>
      <w:r>
        <w:rPr>
          <w:rFonts w:hint="default" w:ascii="宋体" w:hAnsi="宋体" w:eastAsia="宋体" w:cs="宋体"/>
          <w:color w:val="000000"/>
          <w:sz w:val="24"/>
          <w:szCs w:val="24"/>
          <w:lang w:val="en-US" w:eastAsia="zh-CN"/>
        </w:rPr>
        <w:t>。</w:t>
      </w:r>
    </w:p>
    <w:p w14:paraId="3FD6FE50">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验收</w:t>
      </w:r>
    </w:p>
    <w:p w14:paraId="047BE83B">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验收应在采购人和供应商双方共同参加下进行。验收内容包括规格、数量、包装、质量等是否符合合同约定。若发现任何问题，采购人有权拒收货物，供应商应在2个工作日内完成整改或更换。</w:t>
      </w:r>
    </w:p>
    <w:p w14:paraId="0DDC4213">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付款方式</w:t>
      </w:r>
    </w:p>
    <w:p w14:paraId="50D36D14">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季度结算，每季度初按上一个季度的实际采购数量进行结算，结算金额=∑（供货单价×实际采购货物数量），以人民币方式结算，供应商须提供以下资料，采购人核对无误后，在收到以下资料后二十个工作日内（遇节假日顺延）银行转账付款：</w:t>
      </w:r>
    </w:p>
    <w:p w14:paraId="618AFE3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合同</w:t>
      </w:r>
      <w:r>
        <w:rPr>
          <w:rFonts w:hint="eastAsia" w:ascii="宋体" w:hAnsi="宋体" w:eastAsia="宋体" w:cs="宋体"/>
          <w:color w:val="000000"/>
          <w:sz w:val="24"/>
          <w:szCs w:val="24"/>
          <w:lang w:val="en-US" w:eastAsia="zh-CN"/>
        </w:rPr>
        <w:t>原件（仅首次请款提供）；</w:t>
      </w:r>
    </w:p>
    <w:p w14:paraId="5DA3C06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双方确认的一式三份</w:t>
      </w:r>
      <w:r>
        <w:rPr>
          <w:rFonts w:hint="eastAsia" w:ascii="宋体" w:hAnsi="宋体" w:eastAsia="宋体" w:cs="宋体"/>
          <w:color w:val="000000"/>
          <w:sz w:val="24"/>
          <w:szCs w:val="24"/>
        </w:rPr>
        <w:t>送货清单；</w:t>
      </w:r>
    </w:p>
    <w:p w14:paraId="656E9534">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有效等额普通</w:t>
      </w:r>
      <w:r>
        <w:rPr>
          <w:rFonts w:hint="eastAsia" w:ascii="宋体" w:hAnsi="宋体" w:eastAsia="宋体" w:cs="宋体"/>
          <w:color w:val="000000"/>
          <w:sz w:val="24"/>
          <w:szCs w:val="24"/>
        </w:rPr>
        <w:t>发票</w:t>
      </w:r>
      <w:r>
        <w:rPr>
          <w:rFonts w:hint="eastAsia" w:ascii="宋体" w:hAnsi="宋体" w:eastAsia="宋体" w:cs="宋体"/>
          <w:color w:val="000000"/>
          <w:sz w:val="24"/>
          <w:szCs w:val="24"/>
          <w:lang w:eastAsia="zh-CN"/>
        </w:rPr>
        <w:t>。</w:t>
      </w:r>
    </w:p>
    <w:p w14:paraId="23A3259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售后服务</w:t>
      </w:r>
    </w:p>
    <w:p w14:paraId="12904D1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验收时发现的破损、受潮、有效期不足6个月或其他不合格货物，成交供应商须在3天内重新配送合格产品给采购人，产生的费用由成交供应商承担。经三次换货后仍不符合要求的，采购人有权单方解除合同，不再支付任何费用，造成采购人损失的，成交供应商应承担相应的赔偿责任。</w:t>
      </w:r>
    </w:p>
    <w:p w14:paraId="1315E0E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2.质保期为6个月。质保期内，非采购人的人为原因而出现的质量问题由供应商负责包换或包退，并承担调换或退货的实际费用。出现不符合质量标准的物品，须在接到采购人通知后24小时内更换。</w:t>
      </w:r>
    </w:p>
    <w:p w14:paraId="0F1A9E43">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违约责任</w:t>
      </w:r>
    </w:p>
    <w:p w14:paraId="50833DE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如果成交供应商未能在规定期限内或采购人准许的任何延期内交付部分或全部产品，或者成交供应商未能履行合同中规定的其他义务，以及在本合同的实施过程中有严重违法行为，采购人有权单方终止全部合同，成交供应商须向采购人支付合同金额的20%作为违约金，造成采购人其他损失的，由成交供应商承担相应的赔偿责任。</w:t>
      </w:r>
    </w:p>
    <w:p w14:paraId="39DA13F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2.如产品出现三次质量问题，仍无法妥善解决，采购人有权单方面终止合同，采购人不再支付任何费用，造成采购人损失的，成交供应商应承担相应的赔偿责任。</w:t>
      </w:r>
    </w:p>
    <w:p w14:paraId="68F32B5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3.如因产品质量发生重大安全事故（影响人身安全或造成严重经济损失），采购人有权单方面终止合同，由成交供应商承担因此造成的一切后果。</w:t>
      </w:r>
    </w:p>
    <w:p w14:paraId="31C1D74D">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不可抗力</w:t>
      </w:r>
    </w:p>
    <w:p w14:paraId="2094DD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任何一方由于不可抗力原因不能履行合同时，应在不可抗力事件发生后24小时内向对方通报，以减轻可能给对方造成的损失，在取得有关机构的不可抗力证明或双方谅解确认后，允许延期履行或修订合同，并根据情况可部分或全部免于承担违约责任。</w:t>
      </w:r>
    </w:p>
    <w:p w14:paraId="4CEC4D9F">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知识产权</w:t>
      </w:r>
    </w:p>
    <w:p w14:paraId="39C63F2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货物及配套</w:t>
      </w:r>
      <w:r>
        <w:rPr>
          <w:rFonts w:hint="default" w:ascii="宋体" w:hAnsi="宋体" w:eastAsia="宋体" w:cs="宋体"/>
          <w:b w:val="0"/>
          <w:bCs w:val="0"/>
          <w:color w:val="000000"/>
          <w:sz w:val="24"/>
          <w:szCs w:val="24"/>
          <w:lang w:val="en-US" w:eastAsia="zh-CN"/>
        </w:rPr>
        <w:t>设备在中国境内可合法使用，并保证不侵犯任何第三方的知识产权，否则，产生的一切争议纠纷由</w:t>
      </w:r>
      <w:r>
        <w:rPr>
          <w:rFonts w:hint="eastAsia" w:ascii="宋体" w:hAnsi="宋体" w:eastAsia="宋体" w:cs="宋体"/>
          <w:b w:val="0"/>
          <w:bCs w:val="0"/>
          <w:color w:val="000000"/>
          <w:sz w:val="24"/>
          <w:szCs w:val="24"/>
          <w:lang w:val="en-US" w:eastAsia="zh-CN"/>
        </w:rPr>
        <w:t>成交供应商</w:t>
      </w:r>
      <w:r>
        <w:rPr>
          <w:rFonts w:hint="default" w:ascii="宋体" w:hAnsi="宋体" w:eastAsia="宋体" w:cs="宋体"/>
          <w:b w:val="0"/>
          <w:bCs w:val="0"/>
          <w:color w:val="000000"/>
          <w:sz w:val="24"/>
          <w:szCs w:val="24"/>
          <w:lang w:val="en-US" w:eastAsia="zh-CN"/>
        </w:rPr>
        <w:t>负责，与采购人无关。</w:t>
      </w:r>
    </w:p>
    <w:p w14:paraId="1FD5CB6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成交供应商需保证所提供的货物来源合法，并已经依照国家法律缴纳税款。如因成交供应商没有履行该保证义务，造成采购人财产及声誉上的损失，成交供应商须承担违约责任及赔偿采购人由此产生的一切损失。</w:t>
      </w:r>
    </w:p>
    <w:p w14:paraId="64308292">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争议及解决办法</w:t>
      </w:r>
    </w:p>
    <w:p w14:paraId="0A70E62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1.因货物的质量问题发生争议，由广州市市场监督管理局或其指定的质量鉴定单位进行质量鉴定。货物符合质量标准的，鉴定费由采购人承担；货物不符合质量标准的，鉴定费由成交供应商承担。</w:t>
      </w:r>
    </w:p>
    <w:p w14:paraId="557744E5">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baseline"/>
        <w:outlineLvl w:val="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2.本合同发生争议，由双方协商调解解决，协商或调解不成时,双方可向采购人所在地人民法院提起诉讼。</w:t>
      </w:r>
    </w:p>
    <w:p w14:paraId="661ECCAB">
      <w:pPr>
        <w:keepNext w:val="0"/>
        <w:keepLines w:val="0"/>
        <w:pageBreakBefore w:val="0"/>
        <w:widowControl w:val="0"/>
        <w:wordWrap/>
        <w:overflowPunct/>
        <w:topLinePunct w:val="0"/>
        <w:autoSpaceDE w:val="0"/>
        <w:autoSpaceDN w:val="0"/>
        <w:bidi w:val="0"/>
        <w:adjustRightInd w:val="0"/>
        <w:spacing w:line="360" w:lineRule="auto"/>
        <w:rPr>
          <w:sz w:val="24"/>
          <w:szCs w:val="24"/>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9B85">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BA733"/>
    <w:multiLevelType w:val="singleLevel"/>
    <w:tmpl w:val="87EBA733"/>
    <w:lvl w:ilvl="0" w:tentative="0">
      <w:start w:val="1"/>
      <w:numFmt w:val="decimal"/>
      <w:lvlText w:val="%1."/>
      <w:lvlJc w:val="left"/>
      <w:pPr>
        <w:tabs>
          <w:tab w:val="left" w:pos="312"/>
        </w:tabs>
      </w:pPr>
    </w:lvl>
  </w:abstractNum>
  <w:abstractNum w:abstractNumId="1">
    <w:nsid w:val="B048D2CB"/>
    <w:multiLevelType w:val="singleLevel"/>
    <w:tmpl w:val="B048D2CB"/>
    <w:lvl w:ilvl="0" w:tentative="0">
      <w:start w:val="1"/>
      <w:numFmt w:val="chineseCounting"/>
      <w:suff w:val="nothing"/>
      <w:lvlText w:val="%1、"/>
      <w:lvlJc w:val="left"/>
      <w:rPr>
        <w:rFonts w:hint="eastAsia" w:ascii="宋体" w:hAnsi="宋体" w:eastAsia="宋体" w:cstheme="minor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2.168.236:88/seeyon/officeservlet"/>
  </w:docVars>
  <w:rsids>
    <w:rsidRoot w:val="00000000"/>
    <w:rsid w:val="000F5245"/>
    <w:rsid w:val="00AC2AAA"/>
    <w:rsid w:val="00D16F69"/>
    <w:rsid w:val="01532B56"/>
    <w:rsid w:val="019F0BB1"/>
    <w:rsid w:val="020B7837"/>
    <w:rsid w:val="020E6C66"/>
    <w:rsid w:val="025A5EFB"/>
    <w:rsid w:val="02F72AEC"/>
    <w:rsid w:val="03781024"/>
    <w:rsid w:val="039F4D6A"/>
    <w:rsid w:val="03C2062F"/>
    <w:rsid w:val="04447FB3"/>
    <w:rsid w:val="04690759"/>
    <w:rsid w:val="04D550AF"/>
    <w:rsid w:val="064E6EC7"/>
    <w:rsid w:val="079E5C2C"/>
    <w:rsid w:val="07A14F2E"/>
    <w:rsid w:val="081E38A5"/>
    <w:rsid w:val="08704530"/>
    <w:rsid w:val="08CE4C91"/>
    <w:rsid w:val="0903095B"/>
    <w:rsid w:val="09B72FD5"/>
    <w:rsid w:val="09BB5719"/>
    <w:rsid w:val="09E90F6B"/>
    <w:rsid w:val="0A115B4D"/>
    <w:rsid w:val="0B73117E"/>
    <w:rsid w:val="0BBA0B5B"/>
    <w:rsid w:val="0C5C1C12"/>
    <w:rsid w:val="0CC53C5B"/>
    <w:rsid w:val="0D502ACD"/>
    <w:rsid w:val="0D6214AA"/>
    <w:rsid w:val="0D904304"/>
    <w:rsid w:val="0E6D249A"/>
    <w:rsid w:val="0F4E2A31"/>
    <w:rsid w:val="0F6E563C"/>
    <w:rsid w:val="0F866544"/>
    <w:rsid w:val="10551768"/>
    <w:rsid w:val="10610C6E"/>
    <w:rsid w:val="106D0B81"/>
    <w:rsid w:val="10B63FE7"/>
    <w:rsid w:val="11104140"/>
    <w:rsid w:val="11244A9C"/>
    <w:rsid w:val="112618C7"/>
    <w:rsid w:val="112759E6"/>
    <w:rsid w:val="112D1085"/>
    <w:rsid w:val="115E03F5"/>
    <w:rsid w:val="13707968"/>
    <w:rsid w:val="139161E5"/>
    <w:rsid w:val="14352BCC"/>
    <w:rsid w:val="14480E14"/>
    <w:rsid w:val="146C0AF9"/>
    <w:rsid w:val="149B186A"/>
    <w:rsid w:val="14EA24B1"/>
    <w:rsid w:val="15E57194"/>
    <w:rsid w:val="1618319C"/>
    <w:rsid w:val="16454CB4"/>
    <w:rsid w:val="16663DB9"/>
    <w:rsid w:val="167A24EB"/>
    <w:rsid w:val="1683189B"/>
    <w:rsid w:val="169052DA"/>
    <w:rsid w:val="16B0497A"/>
    <w:rsid w:val="17175BD3"/>
    <w:rsid w:val="177E6CB2"/>
    <w:rsid w:val="17935082"/>
    <w:rsid w:val="18237057"/>
    <w:rsid w:val="182C3A8D"/>
    <w:rsid w:val="18556A76"/>
    <w:rsid w:val="189744E0"/>
    <w:rsid w:val="18CA66BE"/>
    <w:rsid w:val="199A7C02"/>
    <w:rsid w:val="1ABF5101"/>
    <w:rsid w:val="1B044570"/>
    <w:rsid w:val="1B063DBD"/>
    <w:rsid w:val="1B9C202B"/>
    <w:rsid w:val="1BC872C4"/>
    <w:rsid w:val="1BCA4DEA"/>
    <w:rsid w:val="1BDC12B8"/>
    <w:rsid w:val="1BFA56E2"/>
    <w:rsid w:val="1DB36A9F"/>
    <w:rsid w:val="1E0A12F5"/>
    <w:rsid w:val="1E561430"/>
    <w:rsid w:val="1F9E4991"/>
    <w:rsid w:val="1FF0703B"/>
    <w:rsid w:val="1FF42436"/>
    <w:rsid w:val="20BB73F7"/>
    <w:rsid w:val="20BE537E"/>
    <w:rsid w:val="210D72B6"/>
    <w:rsid w:val="21553291"/>
    <w:rsid w:val="21E0422D"/>
    <w:rsid w:val="21F20BF7"/>
    <w:rsid w:val="2259392C"/>
    <w:rsid w:val="225F1EC6"/>
    <w:rsid w:val="227E692E"/>
    <w:rsid w:val="22D12933"/>
    <w:rsid w:val="23965296"/>
    <w:rsid w:val="23A90956"/>
    <w:rsid w:val="23A94B28"/>
    <w:rsid w:val="251A07EE"/>
    <w:rsid w:val="25D80E22"/>
    <w:rsid w:val="2626775A"/>
    <w:rsid w:val="26683B34"/>
    <w:rsid w:val="26ED7B97"/>
    <w:rsid w:val="28AC717A"/>
    <w:rsid w:val="292C74B9"/>
    <w:rsid w:val="29655789"/>
    <w:rsid w:val="297D67EF"/>
    <w:rsid w:val="2980244F"/>
    <w:rsid w:val="29850573"/>
    <w:rsid w:val="29C311B6"/>
    <w:rsid w:val="2A1A6F3D"/>
    <w:rsid w:val="2A5909BC"/>
    <w:rsid w:val="2A9C0FF1"/>
    <w:rsid w:val="2ADD4DD2"/>
    <w:rsid w:val="2B830B12"/>
    <w:rsid w:val="2BA41659"/>
    <w:rsid w:val="2DC55411"/>
    <w:rsid w:val="2DDB45C1"/>
    <w:rsid w:val="2DFC6B6F"/>
    <w:rsid w:val="2E2C2C5F"/>
    <w:rsid w:val="2E2D5E5E"/>
    <w:rsid w:val="2EE711B5"/>
    <w:rsid w:val="2F3B687D"/>
    <w:rsid w:val="302A7FA3"/>
    <w:rsid w:val="30BA6D84"/>
    <w:rsid w:val="30DB23CF"/>
    <w:rsid w:val="31864EB8"/>
    <w:rsid w:val="32867865"/>
    <w:rsid w:val="329A38A8"/>
    <w:rsid w:val="32C342B4"/>
    <w:rsid w:val="32FC604A"/>
    <w:rsid w:val="33226E62"/>
    <w:rsid w:val="3332755A"/>
    <w:rsid w:val="33484B1B"/>
    <w:rsid w:val="33B87465"/>
    <w:rsid w:val="34A51AF9"/>
    <w:rsid w:val="34DE5310"/>
    <w:rsid w:val="35D42696"/>
    <w:rsid w:val="36130291"/>
    <w:rsid w:val="376B527C"/>
    <w:rsid w:val="37731502"/>
    <w:rsid w:val="37A95DA4"/>
    <w:rsid w:val="37BF2ED1"/>
    <w:rsid w:val="384004B6"/>
    <w:rsid w:val="3851758A"/>
    <w:rsid w:val="387D4663"/>
    <w:rsid w:val="38B2304B"/>
    <w:rsid w:val="39300CDE"/>
    <w:rsid w:val="39690262"/>
    <w:rsid w:val="399F2FBB"/>
    <w:rsid w:val="39F5134C"/>
    <w:rsid w:val="3A5C4205"/>
    <w:rsid w:val="3AE159F3"/>
    <w:rsid w:val="3C187054"/>
    <w:rsid w:val="3C66006D"/>
    <w:rsid w:val="3CB24C77"/>
    <w:rsid w:val="3D12486E"/>
    <w:rsid w:val="3DB1038F"/>
    <w:rsid w:val="3DFE4922"/>
    <w:rsid w:val="3E0776A5"/>
    <w:rsid w:val="3E0C7AC7"/>
    <w:rsid w:val="3E4615BD"/>
    <w:rsid w:val="3E5E330A"/>
    <w:rsid w:val="3F0954C2"/>
    <w:rsid w:val="3FE228F3"/>
    <w:rsid w:val="4029285A"/>
    <w:rsid w:val="409947AE"/>
    <w:rsid w:val="41512B80"/>
    <w:rsid w:val="432602A9"/>
    <w:rsid w:val="43961362"/>
    <w:rsid w:val="45383192"/>
    <w:rsid w:val="45955966"/>
    <w:rsid w:val="45BC599D"/>
    <w:rsid w:val="461F0442"/>
    <w:rsid w:val="474C2F00"/>
    <w:rsid w:val="475D7297"/>
    <w:rsid w:val="480F5FE7"/>
    <w:rsid w:val="48354C4F"/>
    <w:rsid w:val="48653621"/>
    <w:rsid w:val="49436F90"/>
    <w:rsid w:val="4969351D"/>
    <w:rsid w:val="4B007631"/>
    <w:rsid w:val="4BBC5C4E"/>
    <w:rsid w:val="4BCE7121"/>
    <w:rsid w:val="4BDD5511"/>
    <w:rsid w:val="4BF14E32"/>
    <w:rsid w:val="4D33356F"/>
    <w:rsid w:val="4D9B7C12"/>
    <w:rsid w:val="4E421A69"/>
    <w:rsid w:val="4E6F6FA8"/>
    <w:rsid w:val="4EB34090"/>
    <w:rsid w:val="4F336227"/>
    <w:rsid w:val="4F373FB4"/>
    <w:rsid w:val="4FA076AE"/>
    <w:rsid w:val="4FA669F9"/>
    <w:rsid w:val="4FE42E22"/>
    <w:rsid w:val="4FE95333"/>
    <w:rsid w:val="50186D82"/>
    <w:rsid w:val="502C6FBE"/>
    <w:rsid w:val="51267698"/>
    <w:rsid w:val="5164091A"/>
    <w:rsid w:val="51AB483A"/>
    <w:rsid w:val="52120DCF"/>
    <w:rsid w:val="53337AD0"/>
    <w:rsid w:val="533D1A50"/>
    <w:rsid w:val="537607FD"/>
    <w:rsid w:val="537C52C4"/>
    <w:rsid w:val="53AB679B"/>
    <w:rsid w:val="53FA5565"/>
    <w:rsid w:val="55B94E3A"/>
    <w:rsid w:val="55B94FAC"/>
    <w:rsid w:val="560518E2"/>
    <w:rsid w:val="564C6ECF"/>
    <w:rsid w:val="578D30CB"/>
    <w:rsid w:val="57D1482F"/>
    <w:rsid w:val="57F9433E"/>
    <w:rsid w:val="58023ABA"/>
    <w:rsid w:val="58504969"/>
    <w:rsid w:val="58C93758"/>
    <w:rsid w:val="59144F85"/>
    <w:rsid w:val="591E48AA"/>
    <w:rsid w:val="59262959"/>
    <w:rsid w:val="59924049"/>
    <w:rsid w:val="59CA3C2C"/>
    <w:rsid w:val="59CA6E91"/>
    <w:rsid w:val="59DE17B8"/>
    <w:rsid w:val="5A7A2F4D"/>
    <w:rsid w:val="5A802901"/>
    <w:rsid w:val="5B1C2265"/>
    <w:rsid w:val="5B327492"/>
    <w:rsid w:val="5B3428DB"/>
    <w:rsid w:val="5B594C0C"/>
    <w:rsid w:val="5BA470D1"/>
    <w:rsid w:val="5BB11BD8"/>
    <w:rsid w:val="5C0B31F7"/>
    <w:rsid w:val="5C9C18B0"/>
    <w:rsid w:val="5CB8097B"/>
    <w:rsid w:val="5CF52D6E"/>
    <w:rsid w:val="5DAA52DE"/>
    <w:rsid w:val="5EF01A3F"/>
    <w:rsid w:val="5F1E0131"/>
    <w:rsid w:val="5F2915CA"/>
    <w:rsid w:val="5F791EBD"/>
    <w:rsid w:val="5FAF5897"/>
    <w:rsid w:val="60323700"/>
    <w:rsid w:val="60795A64"/>
    <w:rsid w:val="611F5ED2"/>
    <w:rsid w:val="61C566A5"/>
    <w:rsid w:val="63102D48"/>
    <w:rsid w:val="639354FE"/>
    <w:rsid w:val="63E92F01"/>
    <w:rsid w:val="64301F81"/>
    <w:rsid w:val="646860ED"/>
    <w:rsid w:val="653B59DE"/>
    <w:rsid w:val="66042274"/>
    <w:rsid w:val="664F68C0"/>
    <w:rsid w:val="668E402D"/>
    <w:rsid w:val="66D0464C"/>
    <w:rsid w:val="670A5668"/>
    <w:rsid w:val="670D05E6"/>
    <w:rsid w:val="67917B37"/>
    <w:rsid w:val="67917F09"/>
    <w:rsid w:val="67A7098F"/>
    <w:rsid w:val="67FA08AC"/>
    <w:rsid w:val="683D039D"/>
    <w:rsid w:val="687731D1"/>
    <w:rsid w:val="69003B50"/>
    <w:rsid w:val="69185F08"/>
    <w:rsid w:val="69A237F2"/>
    <w:rsid w:val="6A2A4D92"/>
    <w:rsid w:val="6AE37C60"/>
    <w:rsid w:val="6B305CBA"/>
    <w:rsid w:val="6B6A2B79"/>
    <w:rsid w:val="6B7439F8"/>
    <w:rsid w:val="6C2D3B82"/>
    <w:rsid w:val="6C7F2CC1"/>
    <w:rsid w:val="6CDF2EB8"/>
    <w:rsid w:val="6D26745A"/>
    <w:rsid w:val="6D433529"/>
    <w:rsid w:val="6D6F5DF2"/>
    <w:rsid w:val="6ED547AD"/>
    <w:rsid w:val="6F0F4E04"/>
    <w:rsid w:val="6FFA630B"/>
    <w:rsid w:val="6FFD59F6"/>
    <w:rsid w:val="70020662"/>
    <w:rsid w:val="70056C65"/>
    <w:rsid w:val="706669F9"/>
    <w:rsid w:val="70CA019A"/>
    <w:rsid w:val="716C788B"/>
    <w:rsid w:val="721B7BF0"/>
    <w:rsid w:val="7231619E"/>
    <w:rsid w:val="72DE44F5"/>
    <w:rsid w:val="72E25198"/>
    <w:rsid w:val="73036BBB"/>
    <w:rsid w:val="733517AB"/>
    <w:rsid w:val="73667F57"/>
    <w:rsid w:val="74123DAE"/>
    <w:rsid w:val="75170535"/>
    <w:rsid w:val="75322ABE"/>
    <w:rsid w:val="755A5D33"/>
    <w:rsid w:val="755E7282"/>
    <w:rsid w:val="75AB44BA"/>
    <w:rsid w:val="76597CBE"/>
    <w:rsid w:val="766264DC"/>
    <w:rsid w:val="768E0063"/>
    <w:rsid w:val="76B50A5A"/>
    <w:rsid w:val="77003A29"/>
    <w:rsid w:val="779C3128"/>
    <w:rsid w:val="78212811"/>
    <w:rsid w:val="7863107C"/>
    <w:rsid w:val="786A41B8"/>
    <w:rsid w:val="78A35958"/>
    <w:rsid w:val="796614CB"/>
    <w:rsid w:val="7A2860D9"/>
    <w:rsid w:val="7AD37F2E"/>
    <w:rsid w:val="7D1816B2"/>
    <w:rsid w:val="7D6C727D"/>
    <w:rsid w:val="7E5A082B"/>
    <w:rsid w:val="7E6F6973"/>
    <w:rsid w:val="7F3D7503"/>
    <w:rsid w:val="7F97181F"/>
    <w:rsid w:val="7FF6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rPr>
      <w:sz w:val="24"/>
    </w:rPr>
  </w:style>
  <w:style w:type="character" w:customStyle="1" w:styleId="6">
    <w:name w:val="font11"/>
    <w:basedOn w:val="5"/>
    <w:qFormat/>
    <w:uiPriority w:val="0"/>
    <w:rPr>
      <w:rFonts w:hint="eastAsia" w:ascii="宋体" w:hAnsi="宋体" w:eastAsia="宋体" w:cs="宋体"/>
      <w:color w:val="000000"/>
      <w:sz w:val="21"/>
      <w:szCs w:val="21"/>
      <w:u w:val="none"/>
    </w:rPr>
  </w:style>
  <w:style w:type="paragraph" w:customStyle="1" w:styleId="7">
    <w:name w:val="正文1"/>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2045</Words>
  <Characters>2102</Characters>
  <Lines>0</Lines>
  <Paragraphs>0</Paragraphs>
  <TotalTime>2</TotalTime>
  <ScaleCrop>false</ScaleCrop>
  <LinksUpToDate>false</LinksUpToDate>
  <CharactersWithSpaces>2102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谢梓蕴</cp:lastModifiedBy>
  <dcterms:modified xsi:type="dcterms:W3CDTF">2026-04-10T06:59:50Z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91AFF3C3BE0944FEB323FD07BF9142E1_13</vt:lpwstr>
  </property>
  <property fmtid="{D5CDD505-2E9C-101B-9397-08002B2CF9AE}" pid="4" name="KSOTemplateDocerSaveRecord">
    <vt:lpwstr>eyJoZGlkIjoiNWNlZjhlNzA5MTRhM2VkNzE0OGYyYWNiMjJiNzFiZDciLCJ1c2VySWQiOiIxMjc5MzE3MDQwIn0=</vt:lpwstr>
  </property>
</Properties>
</file>